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EEE" w:rsidRPr="00746199" w:rsidRDefault="00225AAE" w:rsidP="00E140C6">
      <w:pPr>
        <w:pStyle w:val="Label"/>
      </w:pPr>
      <w:r w:rsidRPr="00746199">
        <w:t>Taller</w:t>
      </w:r>
    </w:p>
    <w:p w:rsidR="00F00E89" w:rsidRPr="00746199" w:rsidRDefault="006C51A0" w:rsidP="00EF2F90">
      <w:pPr>
        <w:pStyle w:val="Puesto"/>
      </w:pPr>
      <w:r w:rsidRPr="00746199">
        <w:t>Derechos Humanos y Derechos Colectivos (Sociedad Civil)</w:t>
      </w:r>
    </w:p>
    <w:p w:rsidR="00F00E89" w:rsidRPr="00746199" w:rsidRDefault="00225AAE" w:rsidP="007F063B">
      <w:pPr>
        <w:pStyle w:val="Subttulo"/>
      </w:pPr>
      <w:r w:rsidRPr="00746199">
        <w:t>Defensoría del Pueblo de Ecuador</w:t>
      </w:r>
    </w:p>
    <w:p w:rsidR="006A122B" w:rsidRPr="00746199" w:rsidRDefault="006A122B" w:rsidP="006A122B">
      <w:pPr>
        <w:rPr>
          <w:sz w:val="160"/>
          <w:szCs w:val="160"/>
        </w:rPr>
      </w:pPr>
    </w:p>
    <w:p w:rsidR="002A0110" w:rsidRPr="00746199" w:rsidRDefault="002A0110" w:rsidP="002A0110">
      <w:pPr>
        <w:pStyle w:val="Label"/>
      </w:pPr>
      <w:r w:rsidRPr="00746199">
        <w:t>Objetivo</w:t>
      </w:r>
    </w:p>
    <w:p w:rsidR="009356BA" w:rsidRPr="00746199" w:rsidRDefault="009356BA" w:rsidP="009356BA">
      <w:r w:rsidRPr="00746199">
        <w:t>Empoderar sobre los derechos colectivos y brindar herramientas básicas de exigibilidad</w:t>
      </w:r>
    </w:p>
    <w:p w:rsidR="006A122B" w:rsidRPr="00746199" w:rsidRDefault="006A122B" w:rsidP="00745E71"/>
    <w:tbl>
      <w:tblPr>
        <w:tblStyle w:val="Tabladecuadrcula5oscura-nfasis1"/>
        <w:tblW w:w="7650" w:type="dxa"/>
        <w:jc w:val="center"/>
        <w:tblBorders>
          <w:top w:val="single" w:sz="4" w:space="0" w:color="EC8113" w:themeColor="accent1"/>
          <w:left w:val="single" w:sz="4" w:space="0" w:color="EC8113" w:themeColor="accent1"/>
          <w:bottom w:val="single" w:sz="4" w:space="0" w:color="EC8113" w:themeColor="accent1"/>
          <w:right w:val="single" w:sz="4" w:space="0" w:color="EC8113" w:themeColor="accent1"/>
          <w:insideH w:val="none" w:sz="0" w:space="0" w:color="auto"/>
          <w:insideV w:val="single" w:sz="4" w:space="0" w:color="EC8113" w:themeColor="accent1"/>
        </w:tblBorders>
        <w:tblCellMar>
          <w:top w:w="57" w:type="dxa"/>
          <w:bottom w:w="57" w:type="dxa"/>
        </w:tblCellMar>
        <w:tblLook w:val="0480" w:firstRow="0" w:lastRow="0" w:firstColumn="1" w:lastColumn="0" w:noHBand="0" w:noVBand="1"/>
      </w:tblPr>
      <w:tblGrid>
        <w:gridCol w:w="2028"/>
        <w:gridCol w:w="5622"/>
      </w:tblGrid>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tcBorders>
          </w:tcPr>
          <w:p w:rsidR="006A122B" w:rsidRPr="00746199" w:rsidRDefault="006A122B" w:rsidP="006A122B">
            <w:r w:rsidRPr="00746199">
              <w:t>Propósito</w:t>
            </w:r>
          </w:p>
        </w:tc>
        <w:tc>
          <w:tcPr>
            <w:tcW w:w="5670" w:type="dxa"/>
          </w:tcPr>
          <w:p w:rsidR="006A122B" w:rsidRPr="00746199" w:rsidRDefault="006A122B" w:rsidP="005A30F3">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Capacitar</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Temas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Derechos humanos, derechos colectivos, exigibilidad</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Audiencia</w:t>
            </w:r>
          </w:p>
        </w:tc>
        <w:tc>
          <w:tcPr>
            <w:tcW w:w="5670" w:type="dxa"/>
          </w:tcPr>
          <w:p w:rsidR="006A122B" w:rsidRPr="00746199" w:rsidRDefault="00450B39" w:rsidP="005A30F3">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Facilitadores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Consultora (CO)
                <w:br/>
                DPE (DP)
              </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Espacio físico</w:t>
            </w:r>
          </w:p>
        </w:tc>
        <w:tc>
          <w:tcPr>
            <w:tcW w:w="5670" w:type="dxa"/>
          </w:tcPr>
          <w:p w:rsidR="006A122B" w:rsidRPr="00746199" w:rsidRDefault="00450B39" w:rsidP="00450B39">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Aula, exteriores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bottom w:val="none" w:sz="0" w:space="0" w:color="auto"/>
            </w:tcBorders>
          </w:tcPr>
          <w:p w:rsidR="006A122B" w:rsidRPr="00746199" w:rsidRDefault="006A122B" w:rsidP="005A30F3">
            <w:r w:rsidRPr="00746199">
              <w:t>Cronograma</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9 horas en 1 día</w:t>
            </w:r>
          </w:p>
        </w:tc>
      </w:tr>
    </w:tbl>
    <w:p w:rsidR="006A122B" w:rsidRPr="00746199" w:rsidRDefault="006A122B" w:rsidP="00F00E89">
      <w:pPr>
        <w:sectPr w:rsidR="006A122B" w:rsidRPr="00746199" w:rsidSect="006A122B">
          <w:pgSz w:w="12240" w:h="15840" w:code="1"/>
          <w:pgMar w:top="1440" w:right="1440" w:bottom="1440" w:left="1440" w:header="709" w:footer="709" w:gutter="0"/>
          <w:cols w:space="708"/>
          <w:vAlign w:val="center"/>
          <w:docGrid w:linePitch="360"/>
        </w:sectPr>
      </w:pPr>
    </w:p>
    <w:p w:rsidR="00F00E89" w:rsidRPr="00746199" w:rsidRDefault="007B07BD" w:rsidP="007B07BD">
      <w:pPr>
        <w:pStyle w:val="Ttulo1"/>
      </w:pPr>
      <w:r w:rsidRPr="00746199">
        <w:lastRenderedPageBreak/>
        <w:t>Cronograma</w:t>
      </w:r>
    </w:p>
    <w:p w:rsidR="003714F3" w:rsidRPr="00746199" w:rsidRDefault="00630771" w:rsidP="002A2407">
      <w:pPr>
        <w:pStyle w:val="Ttulo2"/>
        <w:spacing w:before="240"/>
        <w:rPr>
          <w:color w:val="A6A6A6" w:themeColor="background1" w:themeShade="A6"/>
        </w:rPr>
      </w:pPr>
      <w:r w:rsidRPr="00746199">
        <w:rPr>
          <w:b/>
        </w:rPr>
        <w:t>Día 1</w:t>
      </w:r>
      <w:r w:rsidRPr="00746199">
        <w:rPr>
          <w:color w:val="A6A6A6" w:themeColor="background1" w:themeShade="A6"/>
        </w:rPr>
        <w:t xml:space="preserve"> – </w:t>
      </w:r>
      <w:r w:rsidR="004D17E7" w:rsidRPr="00746199">
        <w:rPr>
          <w:color w:val="A6A6A6" w:themeColor="background1" w:themeShade="A6"/>
        </w:rPr>
        <w:t>9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8:00am – 8:30am</w:t>
            </w:r>
          </w:p>
        </w:tc>
        <w:tc>
          <w:tcPr>
            <w:tcW w:w="3685" w:type="dxa"/>
          </w:tcPr>
          <w:p w:rsidR="00225892" w:rsidRPr="00746199" w:rsidRDefault="00225892" w:rsidP="000C50EB">
            <w:pPr>
              <w:rPr>
                <w:b/>
              </w:rPr>
            </w:pPr>
            <w:r w:rsidRPr="00746199">
              <w:rPr>
                <w:b/>
              </w:rPr>
              <w:t>Registro de participantes y entrega de materiales.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8:30am – 9:00am</w:t>
            </w:r>
          </w:p>
        </w:tc>
        <w:tc>
          <w:tcPr>
            <w:tcW w:w="3685" w:type="dxa"/>
          </w:tcPr>
          <w:p w:rsidR="00225892" w:rsidRPr="00746199" w:rsidRDefault="00225892" w:rsidP="000C50EB">
            <w:pPr>
              <w:rPr>
                <w:b/>
              </w:rPr>
            </w:pPr>
            <w:r w:rsidRPr="00746199">
              <w:rPr>
                <w:b/>
              </w:rPr>
              <w:t>A1. Abriendo el telón</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DP, CO</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9:00am – 9:25am</w:t>
            </w:r>
          </w:p>
        </w:tc>
        <w:tc>
          <w:tcPr>
            <w:tcW w:w="3685" w:type="dxa"/>
          </w:tcPr>
          <w:p w:rsidR="00225892" w:rsidRPr="00746199" w:rsidRDefault="00225892" w:rsidP="000C50EB">
            <w:pPr>
              <w:rPr>
                <w:b/>
              </w:rPr>
            </w:pPr>
            <w:r w:rsidRPr="00746199">
              <w:rPr>
                <w:b/>
              </w:rPr>
              <w:t>A2. Vagones del tren</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DP</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9:25am – 10:25am</w:t>
            </w:r>
          </w:p>
        </w:tc>
        <w:tc>
          <w:tcPr>
            <w:tcW w:w="3685" w:type="dxa"/>
          </w:tcPr>
          <w:p w:rsidR="00225892" w:rsidRPr="00746199" w:rsidRDefault="00225892" w:rsidP="000C50EB">
            <w:pPr>
              <w:rPr>
                <w:b/>
              </w:rPr>
            </w:pPr>
            <w:r w:rsidRPr="00746199">
              <w:rPr>
                <w:b/>
              </w:rPr>
              <w:t>A3. La pequeña gallina roja</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DP</w:t>
            </w:r>
          </w:p>
          <w:p w:rsidR="00C31284" w:rsidRPr="00746199" w:rsidRDefault="00C31284" w:rsidP="00E53D52">
            <w:pPr>
              <w:tabs>
                <w:tab w:val="left" w:pos="1633"/>
              </w:tabs>
              <w:rPr>
                <w:sz w:val="20"/>
                <w:szCs w:val="20"/>
              </w:rPr>
            </w:pPr>
            <w:r w:rsidRPr="00C31284">
              <w:rPr>
                <w:rStyle w:val="LabelChar"/>
              </w:rPr>
              <w:t>Recursos:</w:t>
            </w:r>
            <w:r>
              <w:rPr>
                <w:sz w:val="20"/>
                <w:szCs w:val="20"/>
              </w:rPr>
              <w:t xml:space="preserve"> R1, R2, R3</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10:25am – 10:45am</w:t>
            </w:r>
          </w:p>
        </w:tc>
        <w:tc>
          <w:tcPr>
            <w:tcW w:w="3685" w:type="dxa"/>
          </w:tcPr>
          <w:p w:rsidR="00225892" w:rsidRPr="00746199" w:rsidRDefault="00225892" w:rsidP="000C50EB">
            <w:pPr>
              <w:rPr>
                <w:b/>
              </w:rPr>
            </w:pPr>
            <w:r w:rsidRPr="00746199">
              <w:rPr>
                <w:b/>
              </w:rPr>
              <w:t>Refrigerio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10:45am – 11:25am</w:t>
            </w:r>
          </w:p>
        </w:tc>
        <w:tc>
          <w:tcPr>
            <w:tcW w:w="3685" w:type="dxa"/>
          </w:tcPr>
          <w:p w:rsidR="00225892" w:rsidRPr="00746199" w:rsidRDefault="00225892" w:rsidP="000C50EB">
            <w:pPr>
              <w:rPr>
                <w:b/>
              </w:rPr>
            </w:pPr>
            <w:r w:rsidRPr="00746199">
              <w:rPr>
                <w:b/>
              </w:rPr>
              <w:t>A4. Galaxia de Derechos</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DP, CO</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11:25am – 1:05pm</w:t>
            </w:r>
          </w:p>
        </w:tc>
        <w:tc>
          <w:tcPr>
            <w:tcW w:w="3685" w:type="dxa"/>
          </w:tcPr>
          <w:p w:rsidR="00225892" w:rsidRPr="00746199" w:rsidRDefault="00225892" w:rsidP="000C50EB">
            <w:pPr>
              <w:rPr>
                <w:b/>
              </w:rPr>
            </w:pPr>
            <w:r w:rsidRPr="00746199">
              <w:rPr>
                <w:b/>
              </w:rPr>
              <w:t>A5. De la cuna a la tumba</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R4P, R5</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1:05pm – 2:15pm</w:t>
            </w:r>
          </w:p>
        </w:tc>
        <w:tc>
          <w:tcPr>
            <w:tcW w:w="3685" w:type="dxa"/>
          </w:tcPr>
          <w:p w:rsidR="00225892" w:rsidRPr="00746199" w:rsidRDefault="00225892" w:rsidP="000C50EB">
            <w:pPr>
              <w:rPr>
                <w:b/>
              </w:rPr>
            </w:pPr>
            <w:r w:rsidRPr="00746199">
              <w:rPr>
                <w:b/>
              </w:rPr>
              <w:t>Lunch</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2:15pm – 3:00pm</w:t>
            </w:r>
          </w:p>
        </w:tc>
        <w:tc>
          <w:tcPr>
            <w:tcW w:w="3685" w:type="dxa"/>
          </w:tcPr>
          <w:p w:rsidR="00225892" w:rsidRPr="00746199" w:rsidRDefault="00225892" w:rsidP="000C50EB">
            <w:pPr>
              <w:rPr>
                <w:b/>
              </w:rPr>
            </w:pPr>
            <w:r w:rsidRPr="00746199">
              <w:rPr>
                <w:b/>
              </w:rPr>
              <w:t>A6. Charla Expositiva: Definiciones Básicas de los Derechos Colectivos</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R6</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3:00pm – 3:20pm</w:t>
            </w:r>
          </w:p>
        </w:tc>
        <w:tc>
          <w:tcPr>
            <w:tcW w:w="3685" w:type="dxa"/>
          </w:tcPr>
          <w:p w:rsidR="00225892" w:rsidRPr="00746199" w:rsidRDefault="00225892" w:rsidP="000C50EB">
            <w:pPr>
              <w:rPr>
                <w:b/>
              </w:rPr>
            </w:pPr>
            <w:r w:rsidRPr="00746199">
              <w:rPr>
                <w:b/>
              </w:rPr>
              <w:t>Refrigerio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3:20pm – 4:20pm</w:t>
            </w:r>
          </w:p>
        </w:tc>
        <w:tc>
          <w:tcPr>
            <w:tcW w:w="3685" w:type="dxa"/>
          </w:tcPr>
          <w:p w:rsidR="00225892" w:rsidRPr="00746199" w:rsidRDefault="00225892" w:rsidP="000C50EB">
            <w:pPr>
              <w:rPr>
                <w:b/>
              </w:rPr>
            </w:pPr>
            <w:r w:rsidRPr="00746199">
              <w:rPr>
                <w:b/>
              </w:rPr>
              <w:t>A7. Tangram</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R7, R8P, R9P</w:t>
            </w: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4:20pm – 4:50pm</w:t>
            </w:r>
          </w:p>
        </w:tc>
        <w:tc>
          <w:tcPr>
            <w:tcW w:w="3685" w:type="dxa"/>
          </w:tcPr>
          <w:p w:rsidR="00225892" w:rsidRPr="00746199" w:rsidRDefault="00225892" w:rsidP="000C50EB">
            <w:pPr>
              <w:rPr>
                <w:b/>
              </w:rPr>
            </w:pPr>
            <w:r w:rsidRPr="00746199">
              <w:rPr>
                <w:b/>
              </w:rPr>
              <w:t>A8. Evaluación: Tiro al blanco</w:t>
            </w:r>
            <w:r w:rsidRPr="00746199">
              <w:rPr>
                <w:rFonts w:asciiTheme="majorHAnsi" w:hAnsiTheme="majorHAnsi"/>
                <w:i/>
                <w:color w:val="B0600E" w:themeColor="accent1" w:themeShade="BF"/>
                <w:sz w:val="20"/>
                <w:szCs w:val="20"/>
              </w:rPr>
              <w:t/>
            </w:r>
          </w:p>
        </w:tc>
        <w:tc>
          <w:tcPr>
            <w:tcW w:w="3686" w:type="dxa"/>
          </w:tcPr>
          <w:p w:rsidR="00C31284" w:rsidRPr="00746199" w:rsidRDefault="00C31284" w:rsidP="00E53D52">
            <w:pPr>
              <w:tabs>
                <w:tab w:val="left" w:pos="1633"/>
              </w:tabs>
              <w:rPr>
                <w:sz w:val="20"/>
                <w:szCs w:val="20"/>
              </w:rPr>
            </w:pPr>
            <w:r w:rsidRPr="00C31284">
              <w:rPr>
                <w:rStyle w:val="LabelChar"/>
              </w:rPr>
              <w:t>Recursos:</w:t>
            </w:r>
            <w:r>
              <w:rPr>
                <w:sz w:val="20"/>
                <w:szCs w:val="20"/>
              </w:rPr>
              <w:t xml:space="preserve"> R10</w:t>
            </w:r>
          </w:p>
        </w:tc>
      </w:tr>
    </w:tbl>
    <w:p w:rsidR="007D5ACA" w:rsidRPr="00746199" w:rsidRDefault="00913856">
      <w:r w:rsidRPr="00746199">
        <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 Abriendo el telón</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Generar un espacio seguro para el proceso de enseñanza-aprendizaje entre las personas facilitadoras y participantes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Lluvia de ideas,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Vincular con la experiencia: 15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30 mins (modificado del original)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Papelógrafos
                <w:br/>
                • Marcadores
                <w:br/>
                • Cinta adhesiva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Se puede adaptar para niñas y niños utilizando dibujos, ejemplo: para el respeto de los tiempos un reloj.</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1</w:t>
      </w:r>
      <w:r>
        <w:rPr/>
        <w:t xml:space="preserve">. Previamente, escriba los temas o los objetivos del taller en un papelógrafo o en una presentación ppt.</w:t>
      </w:r>
    </w:p>
    <w:p w:rsidR="00A66EE4" w:rsidRPr="00746199" w:rsidRDefault="00A66EE4" w:rsidP="002D3517"/>
    <w:p>
      <w:pPr>
        <w:widowControl w:val="on"/>
        <w:pBdr/>
      </w:pPr>
      <w:r>
        <w:rPr>
          <w:b/>
          <w:bCs/>
        </w:rPr>
        <w:t xml:space="preserve">Step 2</w:t>
      </w:r>
      <w:r>
        <w:rPr/>
        <w:t xml:space="preserve">. Pregunte a las personas participantes cuáles deberían ser las condiciones (acuerdos) para que se desarrolle el proceso educativo en un espacio seguro para la enseñanza-aprendizaje. Proponga reflexiones a través de preguntas como: si hablamos al mismo tiempo ¿nos escuchamos? ¿es respetuoso hablar al mismo tiempo que otra persona? Genere acuerdos básicos sobre el respeto a la opinión de las otras personas, el uso de la palabra, del celular, etc. Anote estos acuerdos en un papelógrafo mismo que será ubicado en un lugar visible durante todo el proceso educativo.</w:t>
      </w:r>
    </w:p>
    <w:p w:rsidR="00A66EE4" w:rsidRPr="00746199" w:rsidRDefault="00A66EE4" w:rsidP="002D3517"/>
    <w:p>
      <w:pPr>
        <w:widowControl w:val="on"/>
        <w:pBdr/>
      </w:pPr>
      <w:r>
        <w:rPr>
          <w:b/>
          <w:bCs/>
        </w:rPr>
        <w:t xml:space="preserve">Step 3</w:t>
      </w:r>
      <w:r>
        <w:rPr/>
        <w:t xml:space="preserve">. En plenaria invite a las personas participantes a exponer las expectativas que tienen del proceso educativo al que han sido convocadas y consigne las respuestas sobre un papelógrafo o una pizarra.</w:t>
      </w:r>
    </w:p>
    <w:p w:rsidR="00A66EE4" w:rsidRPr="00746199" w:rsidRDefault="00A66EE4" w:rsidP="002D3517"/>
    <w:p>
      <w:pPr>
        <w:widowControl w:val="on"/>
        <w:pBdr/>
      </w:pPr>
      <w:r>
        <w:rPr>
          <w:b/>
          <w:bCs/>
        </w:rPr>
        <w:t xml:space="preserve">Step 4</w:t>
      </w:r>
      <w:r>
        <w:rPr/>
        <w:t xml:space="preserve">. Coloque de manera visible el papelógrafo con los objetivos de aprendizaje y contraste con las expectativas recogidas en el paso anterior.</w:t>
      </w:r>
    </w:p>
    <w:p w:rsidR="00A66EE4" w:rsidRPr="00746199" w:rsidRDefault="00A66EE4" w:rsidP="002D3517"/>
    <w:p>
      <w:pPr>
        <w:widowControl w:val="on"/>
        <w:pBdr/>
      </w:pPr>
      <w:r>
        <w:rPr>
          <w:b/>
          <w:bCs/>
        </w:rPr>
        <w:t xml:space="preserve">Step 5</w:t>
      </w:r>
      <w:r>
        <w:rPr/>
        <w:t xml:space="preserve">. Indique al grupo que si alguna expectativa no puede ser resuelta en el presente proceso educativo, se lo anotará en una "Estación de parqueo" para abordarlo en otro momento (en este mismo proceso o en otro). En este espacio se incluirán, además de los temas que no vayan a ser abordados, preguntas que vayan a ser canalizadas para otras personas o instituciones o que ameriten investigación. Durante el taller vaya tachando las cuestiones se vayan resolviendo de ser el caso.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Defensoría del Pueblo de Ecuador</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 Vagones del tren</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Conocerse y  reconocer la diversidad que representan las personas que conforman el grupo y relacionarla con el ejercicio de los derechos humanos.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Fundamentos, no discriminación, educación en derechos humanos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10 mins
                <w:br/>
                • Reflexionar: 10 mins
                <w:br/>
                • Integrar conocimientos: 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25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La forma o características que se señalan para que se formen los vagones puede variar según  las características del público, el tiempo y las necesidades específicas de cada proceso de enseñanza-aprendizaje.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Step 1</w:t>
      </w:r>
      <w:r>
        <w:rPr/>
        <w:t xml:space="preserve">. </w:t>
      </w:r>
      <w:r>
        <w:rPr>
          <w:b/>
          <w:bCs/>
        </w:rPr>
        <w:t xml:space="preserve">Solicite</w:t>
      </w:r>
      <w:r>
        <w:rPr/>
        <w:t xml:space="preserve"> al grupo que se ponga de pie y se acomode formando un solo círculo, en un espacio dentro o fuera del salón.</w:t>
      </w:r>
    </w:p>
    <w:p w:rsidR="00A66EE4" w:rsidRPr="00746199" w:rsidRDefault="00A66EE4" w:rsidP="002D3517"/>
    <w:p>
      <w:pPr>
        <w:widowControl w:val="on"/>
        <w:pBdr/>
      </w:pPr>
      <w:r>
        <w:rPr>
          <w:b/>
          <w:bCs/>
        </w:rPr>
        <w:t xml:space="preserve">Step 2</w:t>
      </w:r>
      <w:r>
        <w:rPr/>
        <w:t xml:space="preserve">. </w:t>
      </w:r>
      <w:r>
        <w:rPr>
          <w:b/>
          <w:bCs/>
        </w:rPr>
        <w:t xml:space="preserve">Pregunte</w:t>
      </w:r>
      <w:r>
        <w:rPr/>
        <w:t xml:space="preserve"> a las personas participantes ¿Cuál medio de transporte público les gusta más? Recoja la respuesta de dos o tres personas.</w:t>
      </w:r>
    </w:p>
    <w:p w:rsidR="00A66EE4" w:rsidRPr="00746199" w:rsidRDefault="00A66EE4" w:rsidP="002D3517"/>
    <w:p>
      <w:pPr>
        <w:widowControl w:val="on"/>
        <w:pBdr/>
      </w:pPr>
      <w:r>
        <w:rPr>
          <w:b/>
          <w:bCs/>
        </w:rPr>
        <w:t xml:space="preserve">Step 3</w:t>
      </w:r>
      <w:r>
        <w:rPr/>
        <w:t xml:space="preserve">. </w:t>
      </w:r>
      <w:r>
        <w:rPr>
          <w:b/>
          <w:bCs/>
        </w:rPr>
        <w:t xml:space="preserve">Indique</w:t>
      </w:r>
      <w:r>
        <w:rPr/>
        <w:t xml:space="preserve"> que en esta ocasión van a imaginar que hacen un viaje y que el medio de transporte en que lo realizarán es el tren.</w:t>
      </w:r>
    </w:p>
    <w:p w:rsidR="00A66EE4" w:rsidRPr="00746199" w:rsidRDefault="00A66EE4" w:rsidP="002D3517"/>
    <w:p>
      <w:pPr>
        <w:widowControl w:val="on"/>
        <w:pBdr/>
      </w:pPr>
      <w:r>
        <w:rPr>
          <w:b/>
          <w:bCs/>
        </w:rPr>
        <w:t xml:space="preserve">Step 4</w:t>
      </w:r>
      <w:r>
        <w:rPr/>
        <w:t xml:space="preserve">. Explique que van a comenzar caminando en cualquier dirección  dentro del salón o espacio en que se encuentran y que en un momento determinado usted va a pedirles que se agrupen en vagones, según una característica que va a señalar y que entonces deberán conformar grupos según compartan con otras personas la característica por usted señalada.</w:t>
      </w:r>
    </w:p>
    <w:p w:rsidR="00A66EE4" w:rsidRPr="00746199" w:rsidRDefault="00A66EE4" w:rsidP="002D3517"/>
    <w:p>
      <w:pPr>
        <w:widowControl w:val="on"/>
        <w:pBdr/>
      </w:pPr>
      <w:r>
        <w:rPr>
          <w:b/>
          <w:bCs/>
        </w:rPr>
        <w:t xml:space="preserve">Step 5</w:t>
      </w:r>
      <w:r>
        <w:rPr/>
        <w:t xml:space="preserve">. Pregunte si están claras las instrucciones y dé la señal para comenzar.</w:t>
      </w:r>
    </w:p>
    <w:p w:rsidR="00A66EE4" w:rsidRPr="00746199" w:rsidRDefault="00A66EE4" w:rsidP="002D3517"/>
    <w:p>
      <w:pPr>
        <w:widowControl w:val="on"/>
        <w:pBdr/>
      </w:pPr>
      <w:r>
        <w:rPr>
          <w:b/>
          <w:bCs/>
        </w:rPr>
        <w:t xml:space="preserve">Step 6</w:t>
      </w:r>
      <w:r>
        <w:rPr/>
        <w:t xml:space="preserve">. Espere a que empiecen a desplazarse y unos segundos después indique: "van a agruparse por... (señalando cada vez, alguna de las siguientes características)":</w:t>
      </w:r>
    </w:p>
    <w:p>
      <w:pPr>
        <w:widowControl w:val="on"/>
        <w:pBdr/>
      </w:pPr>
      <w:r>
        <w:rPr/>
        <w:t xml:space="preserve">      • Vagones de personas cuyos nombres o apellidos comiencen con la misma letra</w:t>
      </w:r>
    </w:p>
    <w:p>
      <w:pPr>
        <w:widowControl w:val="on"/>
        <w:pBdr/>
      </w:pPr>
      <w:r>
        <w:rPr/>
        <w:t xml:space="preserve">      • Vagones de personas con los mismos gustos musicales</w:t>
      </w:r>
    </w:p>
    <w:p>
      <w:pPr>
        <w:widowControl w:val="on"/>
        <w:pBdr/>
      </w:pPr>
      <w:r>
        <w:rPr/>
        <w:t xml:space="preserve">      • Vagones de personas que pertenecen a la misma etnia</w:t>
      </w:r>
    </w:p>
    <w:p>
      <w:pPr>
        <w:widowControl w:val="on"/>
        <w:pBdr/>
      </w:pPr>
      <w:r>
        <w:rPr/>
        <w:t xml:space="preserve">      • Vagones de personas que tienen la misma ciudad, país o continente de nacimiento</w:t>
      </w:r>
    </w:p>
    <w:p>
      <w:pPr>
        <w:widowControl w:val="on"/>
        <w:pBdr/>
      </w:pPr>
      <w:r>
        <w:rPr/>
        <w:t xml:space="preserve">      • Vagones de personas que viven en la misma parroquia (cantón/municipio o ciudad)</w:t>
      </w:r>
    </w:p>
    <w:p>
      <w:pPr>
        <w:widowControl w:val="on"/>
        <w:pBdr/>
      </w:pPr>
      <w:r>
        <w:rPr/>
        <w:t xml:space="preserve">      • Vagones de personas que en su tiempo libre se dedican a la misma actividad</w:t>
      </w:r>
    </w:p>
    <w:p>
      <w:pPr>
        <w:widowControl w:val="on"/>
        <w:pBdr/>
      </w:pPr>
      <w:r>
        <w:rPr/>
        <w:t xml:space="preserve">      • Vagones de personas con la misma profesión</w:t>
      </w:r>
    </w:p>
    <w:p>
      <w:pPr>
        <w:widowControl w:val="on"/>
        <w:pBdr/>
      </w:pPr>
      <w:r>
        <w:rPr/>
        <w:t xml:space="preserve">      • Vagones de personas que se indignan frente a la misma situación</w:t>
      </w:r>
    </w:p>
    <w:p>
      <w:pPr>
        <w:widowControl w:val="on"/>
        <w:pBdr/>
      </w:pPr>
      <w:r>
        <w:rPr/>
        <w:t xml:space="preserve">      • Vagones de seres humanos</w:t>
      </w:r>
    </w:p>
    <w:p>
      <w:pPr>
        <w:widowControl w:val="on"/>
        <w:pBdr/>
      </w:pPr>
      <w:r>
        <w:rPr/>
        <w:t xml:space="preserve">      • Vagones de personas dignas, libres e iguales</w:t>
      </w:r>
    </w:p>
    <w:p>
      <w:pPr>
        <w:widowControl w:val="on"/>
        <w:pBdr/>
      </w:pPr>
      <w:r>
        <w:rPr/>
        <w:t xml:space="preserve">En las últimas dos indicaciones por lo general las personas dudan un poco sobre la instrucción que generalmente les lleva a conformar un sólo vagón o grupo. Si eso sucede pregunte durante la reflexión: ¿Qué les hizo dudar?</w:t>
      </w:r>
    </w:p>
    <w:p w:rsidR="00A66EE4" w:rsidRPr="00746199" w:rsidRDefault="00A66EE4" w:rsidP="002D3517"/>
    <w:p>
      <w:pPr>
        <w:widowControl w:val="on"/>
        <w:pBdr/>
      </w:pPr>
      <w:r>
        <w:rPr>
          <w:b/>
          <w:bCs/>
        </w:rPr>
        <w:t xml:space="preserve">Step 7</w:t>
      </w:r>
      <w:r>
        <w:rPr/>
        <w:t xml:space="preserve">. Dé las gracias a las personas por su participación en la actividad y solicite que vuelvan a los lugares en que estaban sentadas.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Step 8</w:t>
      </w:r>
      <w:r>
        <w:rPr/>
        <w:t xml:space="preserve">. </w:t>
      </w:r>
      <w:r>
        <w:rPr>
          <w:b/>
          <w:bCs/>
        </w:rPr>
        <w:t xml:space="preserve">Invite</w:t>
      </w:r>
      <w:r>
        <w:rPr/>
        <w:t xml:space="preserve"> a las personas participantes a reflexionar sobre las siguientes preguntas:</w:t>
      </w:r>
    </w:p>
    <w:p>
      <w:pPr>
        <w:widowControl w:val="on"/>
        <w:pBdr/>
      </w:pPr>
      <w:r>
        <w:rPr/>
        <w:t xml:space="preserve">      1. ¿Disfrutaron la actividad?</w:t>
      </w:r>
    </w:p>
    <w:p>
      <w:pPr>
        <w:widowControl w:val="on"/>
        <w:pBdr/>
      </w:pPr>
      <w:r>
        <w:rPr/>
        <w:t xml:space="preserve">      2. ¿Qué pudieron conocer de los/as demás participantes?</w:t>
      </w:r>
    </w:p>
    <w:p>
      <w:pPr>
        <w:widowControl w:val="on"/>
        <w:pBdr/>
      </w:pPr>
      <w:r>
        <w:rPr/>
        <w:t xml:space="preserve">      3. ¿Encontraron semejanzas entre sí? ¿Y diferencias? ¿Cuáles?</w:t>
      </w:r>
    </w:p>
    <w:p>
      <w:pPr>
        <w:widowControl w:val="on"/>
        <w:pBdr/>
      </w:pPr>
      <w:r>
        <w:rPr/>
        <w:t xml:space="preserve">      4. ¿Les sorprendió alguna coincidencia o diferencia?</w:t>
      </w:r>
    </w:p>
    <w:p>
      <w:pPr>
        <w:widowControl w:val="on"/>
        <w:pBdr/>
      </w:pPr>
      <w:r>
        <w:rPr/>
        <w:t xml:space="preserve">      5. ¿Qué relación creen que tiene esta actividad con el tema de derechos humanos?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 mins</w:t>
      </w:r>
    </w:p>
    <w:p>
      <w:pPr>
        <w:widowControl w:val="on"/>
        <w:pBdr/>
      </w:pPr>
      <w:r>
        <w:rPr>
          <w:b/>
          <w:bCs/>
        </w:rPr>
        <w:t xml:space="preserve">Step 9</w:t>
      </w:r>
      <w:r>
        <w:rPr/>
        <w:t xml:space="preserve">. </w:t>
      </w:r>
      <w:r>
        <w:rPr>
          <w:b/>
          <w:bCs/>
        </w:rPr>
        <w:t xml:space="preserve">Señale</w:t>
      </w:r>
      <w:r>
        <w:rPr/>
        <w:t xml:space="preserve"> que esta actividad permite el reconocimiento de la diversidad en el grupo y, por lo tanto, en toda la sociedad. Esta diversidad social y cultural se expresa en formas diferentes de ver, de pensar y habitar el mundo, en diferentes lugares de origen, prácticas, comportamientos, costumbres o situación en la que se encuentran. Esta diversidad no nos hace desiguales, solo DIFERENTES y aún con esas diferencias todas y todos somos personas con igual DIGNIDAD y con los MISMOS DERECHOS por algo que compartimos: el hecho de SER HUMANOS/AS, sin importar nuestro sexo, género u orientación sexual, nuestra edad, situación cultural, social, económica o, los lugares a los que vamos o de los que venimos.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Defensoría del Pueblo de Ecuador, adapted from Técnicas para promover la igualdad y la no discriminación, P. Gallardo, A. Portillo, B. Peña, 2013, México: Conapred, p. 27.</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 La pequeña gallina roja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Relacionar los fundamentos de los derechos humanos (dignidad, libertad e igualdad) en situaciones sociales.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Fundamentos, libertad, dignidad, igualdad</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 cierre</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 A distancia: autotutorado, A distancia: tutorado, semipresencial</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Sesión plenaria, trabajo en grupos, trabajo personal</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20 mins
                <w:br/>
                • Reflexionar: 15 mins
                <w:br/>
                • Integrar conocimientos: 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R1. Cuento: La pequeña gallina roja
                <w:br/>
                • R2. Ficha de análisis: La pequeña gallina roja
                <w:br/>
                • R3. Fundamentos de los DDHH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Marcadores o esferos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Para personas adultas mayores, las preguntas de la ficha pueden ser conversadas en plenaria, sin necesidad de que las respondan por grupos.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 R2</w:t>
      </w:r>
    </w:p>
    <w:p>
      <w:pPr>
        <w:widowControl w:val="on"/>
        <w:pBdr/>
      </w:pPr>
      <w:r>
        <w:rPr>
          <w:b/>
          <w:bCs/>
        </w:rPr>
        <w:t xml:space="preserve">Step 1</w:t>
      </w:r>
      <w:r>
        <w:rPr/>
        <w:t xml:space="preserve">. </w:t>
      </w:r>
      <w:r>
        <w:rPr>
          <w:b/>
          <w:bCs/>
        </w:rPr>
        <w:t xml:space="preserve">Organice</w:t>
      </w:r>
      <w:r>
        <w:rPr/>
        <w:t xml:space="preserve"> grupos de máximo 6 personas y entregue a cada grupo el recurso </w:t>
      </w:r>
      <w:r>
        <w:rPr>
          <w:i/>
          <w:iCs/>
        </w:rPr>
        <w:t xml:space="preserve">Ficha de análisis: La pequeña gallina roja</w:t>
      </w:r>
      <w:r>
        <w:rPr/>
        <w:t xml:space="preserve">. En grupos pequeños se puede leer entre todos/as, asignando los personajes a diferentes personas.</w:t>
      </w:r>
    </w:p>
    <w:p w:rsidR="00A66EE4" w:rsidRPr="00746199" w:rsidRDefault="00A66EE4" w:rsidP="002D3517"/>
    <w:p>
      <w:pPr>
        <w:widowControl w:val="on"/>
        <w:pBdr/>
      </w:pPr>
      <w:r>
        <w:rPr>
          <w:b/>
          <w:bCs/>
        </w:rPr>
        <w:t xml:space="preserve">Step 2</w:t>
      </w:r>
      <w:r>
        <w:rPr/>
        <w:t xml:space="preserve">. </w:t>
      </w:r>
      <w:r>
        <w:rPr>
          <w:b/>
          <w:bCs/>
        </w:rPr>
        <w:t xml:space="preserve">Dé </w:t>
      </w:r>
      <w:r>
        <w:rPr/>
        <w:t xml:space="preserve">las siguientes instrucciones:</w:t>
      </w:r>
    </w:p>
    <w:p>
      <w:pPr>
        <w:widowControl w:val="on"/>
        <w:pBdr/>
      </w:pPr>
      <w:r>
        <w:rPr/>
        <w:t xml:space="preserve">      • Realicen la lectura del cuento</w:t>
      </w:r>
    </w:p>
    <w:p>
      <w:pPr>
        <w:widowControl w:val="on"/>
        <w:pBdr/>
      </w:pPr>
      <w:r>
        <w:rPr/>
        <w:t xml:space="preserve">      • Si necesitan vuelvan a leer todo o partes del cuento y seleccionen la parte del mismo que haya generado mayor interés en el grupo.</w:t>
      </w:r>
    </w:p>
    <w:p>
      <w:pPr>
        <w:widowControl w:val="on"/>
        <w:pBdr/>
      </w:pPr>
      <w:r>
        <w:rPr/>
        <w:t xml:space="preserve">      • Identifiquen cuales son los personajes que participan, la situación o conflicto en que se encuentran, los lugares donde se desarrolla la historia y el desenlace.</w:t>
      </w:r>
    </w:p>
    <w:p>
      <w:pPr>
        <w:widowControl w:val="on"/>
        <w:pBdr/>
      </w:pPr>
      <w:r>
        <w:rPr/>
        <w:t xml:space="preserve"> Lo importante es que por medio del diálogo expresen libremente sus ideas sobre el contenido central del texto.</w:t>
      </w:r>
    </w:p>
    <w:p w:rsidR="00A66EE4" w:rsidRPr="00746199" w:rsidRDefault="00A66EE4" w:rsidP="002D3517"/>
    <w:p>
      <w:pPr>
        <w:widowControl w:val="on"/>
        <w:pBdr/>
      </w:pPr>
      <w:r>
        <w:rPr>
          <w:b/>
          <w:bCs/>
        </w:rPr>
        <w:t xml:space="preserve">Step 3</w:t>
      </w:r>
      <w:r>
        <w:rPr/>
        <w:t xml:space="preserve">. Después, </w:t>
      </w:r>
      <w:r>
        <w:rPr>
          <w:b/>
          <w:bCs/>
        </w:rPr>
        <w:t xml:space="preserve">s</w:t>
      </w:r>
      <w:r>
        <w:rPr>
          <w:b/>
          <w:bCs/>
        </w:rPr>
        <w:t xml:space="preserve">olicite</w:t>
      </w:r>
      <w:r>
        <w:rPr/>
        <w:t xml:space="preserve"> a cada grupo que trabajen en las preguntas de análisis del cuento que se encuentra en el mismo recurso.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4</w:t>
      </w:r>
      <w:r>
        <w:rPr/>
        <w:t xml:space="preserve">. </w:t>
      </w:r>
      <w:r>
        <w:rPr>
          <w:b/>
          <w:bCs/>
        </w:rPr>
        <w:t xml:space="preserve">Retome</w:t>
      </w:r>
      <w:r>
        <w:rPr/>
        <w:t xml:space="preserve"> en plenaria las preguntas del análisis y pida de forma aleatoria a los distintos grupos que compartan algunas de sus respuestas.</w:t>
      </w:r>
    </w:p>
    <w:p w:rsidR="00A66EE4" w:rsidRPr="00746199" w:rsidRDefault="00A66EE4" w:rsidP="002D3517"/>
    <w:p>
      <w:pPr>
        <w:widowControl w:val="on"/>
        <w:pBdr/>
      </w:pPr>
      <w:r>
        <w:rPr>
          <w:b/>
          <w:bCs/>
        </w:rPr>
        <w:t xml:space="preserve">Step 5</w:t>
      </w:r>
      <w:r>
        <w:rPr/>
        <w:t xml:space="preserve">. </w:t>
      </w:r>
      <w:r>
        <w:rPr>
          <w:b/>
          <w:bCs/>
        </w:rPr>
        <w:t xml:space="preserve">Agregue</w:t>
      </w:r>
      <w:r>
        <w:rPr/>
        <w:t xml:space="preserve"> otras preguntas para el análisis por ejemplo:</w:t>
      </w:r>
    </w:p>
    <w:p>
      <w:pPr>
        <w:widowControl w:val="on"/>
        <w:pBdr/>
      </w:pPr>
      <w:r>
        <w:rPr/>
        <w:t xml:space="preserve">      • ¿Creen que el resto de personajes trataron de forma digna a la gallina? ¿En qué aspectos de la narración notan un trato indigno?</w:t>
      </w:r>
    </w:p>
    <w:p>
      <w:pPr>
        <w:widowControl w:val="on"/>
        <w:pBdr/>
      </w:pPr>
      <w:r>
        <w:rPr/>
        <w:t xml:space="preserve">      • ¿Creen que el resto de personajes la trataron como a su igual? ¿En qué aspectos del cuento notan un trato desigual o inequitativo?</w:t>
      </w:r>
    </w:p>
    <w:p>
      <w:pPr>
        <w:widowControl w:val="on"/>
        <w:pBdr/>
      </w:pPr>
      <w:r>
        <w:rPr/>
        <w:t xml:space="preserve">      • ¿Creen que ella tuvo la libertad necesaria para elegir y tomar las decisiones sobre los aspectos que afectaban su vida?, ¿En qué aspectos del cuento notan limitaciones, restricciones o condicionamientos a su libertad de autodeterminación?</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R3</w:t>
      </w:r>
    </w:p>
    <w:p>
      <w:pPr>
        <w:widowControl w:val="on"/>
        <w:pBdr/>
      </w:pPr>
      <w:r>
        <w:rPr>
          <w:b/>
          <w:bCs/>
        </w:rPr>
        <w:t xml:space="preserve">Step 6</w:t>
      </w:r>
      <w:r>
        <w:rPr/>
        <w:t xml:space="preserve">. </w:t>
      </w:r>
      <w:r>
        <w:rPr>
          <w:b/>
          <w:bCs/>
        </w:rPr>
        <w:t xml:space="preserve">Indique </w:t>
      </w:r>
      <w:r>
        <w:rPr/>
        <w:t xml:space="preserve">lo siguiente: </w:t>
      </w:r>
    </w:p>
    <w:p>
      <w:pPr>
        <w:widowControl w:val="on"/>
        <w:pBdr/>
      </w:pPr>
      <w:r>
        <w:rPr/>
        <w:t xml:space="preserve">      •</w:t>
      </w:r>
    </w:p>
    <w:p>
      <w:pPr>
        <w:widowControl w:val="on"/>
        <w:pBdr/>
        <w:textDirection w:val="lrTb"/>
      </w:pPr>
      <w:r>
        <w:rPr/>
        <w:t xml:space="preserve">La dignidad humana es la base del desarrollo de los derechos humanos y se refiere al valor inherente que tiene cada persona por su condición de ser humano, es un valor permanente y no depende de la posesión de determinados rasgos, del reconocimiento social, ni del lugar que ocupe la persona en la sociedad (DPE, Manual de la Opción en Educación en Ciudadanía, Derechos Humanos y Buen Vivir del Programa de Participación Estudiantil, 2015, p. 65). Significa que cada ser humano debe ser considerado un fin en sí mismo y nunca sólo como un medio (DPE, Soporte teórico para la introducción a los derechos humanos, 2015, p. 17).</w:t>
      </w:r>
    </w:p>
    <w:p>
      <w:pPr>
        <w:widowControl w:val="on"/>
        <w:pBdr/>
      </w:pPr>
      <w:r>
        <w:rPr/>
        <w:t xml:space="preserve">      •</w:t>
      </w:r>
    </w:p>
    <w:p>
      <w:pPr>
        <w:widowControl w:val="on"/>
        <w:pBdr/>
        <w:textDirection w:val="lrTb"/>
      </w:pPr>
      <w:r>
        <w:rPr/>
        <w:t xml:space="preserve">La igualdad parte del reconocimiento de las diferencias naturales que existen entre todos los seres humanos pero reconoce que, frente a estas, todos y todas debemos recibir un trato que garantice el igual ejercicio de nuestros derechos (DPE, Soporte teórico para la introducción a los derechos humanos, 2015, p. 18).</w:t>
      </w:r>
    </w:p>
    <w:p>
      <w:pPr>
        <w:widowControl w:val="on"/>
        <w:pBdr/>
      </w:pPr>
      <w:r>
        <w:rPr/>
        <w:t xml:space="preserve">      • La libertad es un atributo de las personas que les permite auto determinarse y decidir sobre las opciones y actos que dan sentido a su existencia (DPE, Soporte teórico para la introducción a los derechos humanos, 2015, p. 19).</w:t>
      </w:r>
    </w:p>
    <w:p>
      <w:pPr>
        <w:widowControl w:val="on"/>
        <w:pBdr/>
      </w:pPr>
      <w:r>
        <w:rPr/>
        <w:t xml:space="preserve">Si desea apóyese en la diapositiva del recurso power point que se encuentra adjunto.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Defensoría del Pueblo de Ecuador, in Manual Participación Estudiantil</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 Cuento: La pequeña gallina roja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(link)</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https://convivencia.files.wordpress.com/2008/11/actividades_culturapaztuvilla-200068p.pdf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Niños, 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Libertad, dignidad, igualdad</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Cuento para trabajar temas de DDHH, dignidad, libertad e igualdad y no discriminación. </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R2. Ficha de análisis: La pequeña gallina roja</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Libertad, dignidad, igualdad</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Preguntas sobre responder en base al cuento de la pequeña gallina roja</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R3. Fundamentos de los DDHH</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(pptx)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Fundamentos, libertad, dignidad, igualdad</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Presentación power point con la diapositiva sobre los fundamentos de los DDHH</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A4. Galaxia de Derechos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Reconocer los derechos humanos relacionados con el buen vivir, la libertad y comunidades, pueblos y nacionalidades como una herramienta para su ejercicios.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Difundir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derechos colectivos, empoderamiento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4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30 mins
                <w:br/>
                • Reflexionar: 10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40 mins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Kit del juego Galaxia de Derechos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Step 1</w:t>
      </w:r>
      <w:r>
        <w:rPr/>
        <w:t xml:space="preserve">. Previamente a iniciar el juego, prepare el kit del juego con los personas defensoras de derechos que han luchado por los derechos colectivos de comunidades, pueblos y nacionalidades.</w:t>
      </w:r>
    </w:p>
    <w:p w:rsidR="00A66EE4" w:rsidRPr="00746199" w:rsidRDefault="00A66EE4" w:rsidP="002D3517"/>
    <w:p>
      <w:pPr>
        <w:widowControl w:val="on"/>
        <w:pBdr/>
      </w:pPr>
      <w:r>
        <w:rPr>
          <w:b/>
          <w:bCs/>
        </w:rPr>
        <w:t xml:space="preserve">Step 2</w:t>
      </w:r>
      <w:r>
        <w:rPr/>
        <w:t xml:space="preserve">. Divida al grupo en múltiplos de 4. Cada grupo debe seleccionar el color que le identificará. Defina los turnos en los que lanzarán el dado.</w:t>
      </w:r>
    </w:p>
    <w:p w:rsidR="00A66EE4" w:rsidRPr="00746199" w:rsidRDefault="00A66EE4" w:rsidP="002D3517"/>
    <w:p>
      <w:pPr>
        <w:widowControl w:val="on"/>
        <w:pBdr/>
      </w:pPr>
      <w:r>
        <w:rPr>
          <w:b/>
          <w:bCs/>
        </w:rPr>
        <w:t xml:space="preserve">Step 3</w:t>
      </w:r>
      <w:r>
        <w:rPr/>
        <w:t xml:space="preserve">. Entregue a cada grupo las 24 fichas de derechos, según el color seleccionado. </w:t>
      </w:r>
    </w:p>
    <w:p w:rsidR="00A66EE4" w:rsidRPr="00746199" w:rsidRDefault="00A66EE4" w:rsidP="002D3517"/>
    <w:p>
      <w:pPr>
        <w:widowControl w:val="on"/>
        <w:pBdr/>
      </w:pPr>
      <w:r>
        <w:rPr>
          <w:b/>
          <w:bCs/>
        </w:rPr>
        <w:t xml:space="preserve">Step 4</w:t>
      </w:r>
      <w:r>
        <w:rPr/>
        <w:t xml:space="preserve">. Inicie el juego pidiendo al primer grupo que lance el dado. Según el personaje que se encuentre en la carilla superior del dado, pregunte al grupo: ¿Qué conoce acerca de este personaje? Luego de que los/as participantes opinen al respecto, explique brevemente quién es el personaje, utilizando la Tabla No. 1.</w:t>
      </w:r>
    </w:p>
    <w:p w:rsidR="00A66EE4" w:rsidRPr="00746199" w:rsidRDefault="00A66EE4" w:rsidP="002D3517"/>
    <w:p>
      <w:pPr>
        <w:widowControl w:val="on"/>
        <w:pBdr/>
      </w:pPr>
      <w:r>
        <w:rPr>
          <w:b/>
          <w:bCs/>
        </w:rPr>
        <w:t xml:space="preserve">Step 5</w:t>
      </w:r>
      <w:r>
        <w:rPr/>
        <w:t xml:space="preserve">. Pregunte nuevamente, ¿por qué derechos luchó este personaje? Pida al grupo que seleccione la ficha que corresponda a la respuesta.</w:t>
      </w:r>
    </w:p>
    <w:p w:rsidR="00A66EE4" w:rsidRPr="00746199" w:rsidRDefault="00A66EE4" w:rsidP="002D3517"/>
    <w:p>
      <w:pPr>
        <w:widowControl w:val="on"/>
        <w:pBdr/>
      </w:pPr>
      <w:r>
        <w:rPr>
          <w:b/>
          <w:bCs/>
        </w:rPr>
        <w:t xml:space="preserve">Step 6</w:t>
      </w:r>
      <w:r>
        <w:rPr/>
        <w:t xml:space="preserve">. Pregunte en cuál de los planetas de la lona ubicaría las fichas de derechos. Pida que las ubiquen y haga las precisiones necesarias.</w:t>
      </w:r>
    </w:p>
    <w:p w:rsidR="00A66EE4" w:rsidRPr="00746199" w:rsidRDefault="00A66EE4" w:rsidP="002D3517"/>
    <w:p>
      <w:pPr>
        <w:widowControl w:val="on"/>
        <w:pBdr/>
      </w:pPr>
      <w:r>
        <w:rPr>
          <w:b/>
          <w:bCs/>
        </w:rPr>
        <w:t xml:space="preserve">Step 7</w:t>
      </w:r>
      <w:r>
        <w:rPr/>
        <w:t xml:space="preserve">. Repita estos pasos con todos los grupos hasta que se haya analizado todos los personajes del dado.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Step 8</w:t>
      </w:r>
      <w:r>
        <w:rPr/>
        <w:t xml:space="preserve">. Reflexione sobre el hecho de que el reconocimiento de los derechos humanos es producto de la lucha y reivindicaciones sociales que se han construido como herramientas para hacer frente a las arbitrariedades del poder. Los resultados de estas luchas permiten exigir el reconocimiento y garantía de derechos y alcanzar nuestro proyecto de vida.</w:t>
      </w:r>
    </w:p>
    <w:p>
      <w:pPr>
        <w:widowControl w:val="on"/>
        <w:pBdr/>
      </w:pPr>
      <w:r>
        <w:rPr>
          <w:b/>
          <w:bCs/>
        </w:rPr>
        <w:t xml:space="preserve">Preguntas Generadoras</w:t>
      </w:r>
    </w:p>
    <w:p>
      <w:pPr>
        <w:widowControl w:val="on"/>
        <w:pBdr/>
      </w:pPr>
      <w:r>
        <w:rPr/>
        <w:t xml:space="preserve">¿Qué efectos han tenido en nuestras vidas las luchas y reivindicaciones de estos personajes?</w:t>
      </w:r>
    </w:p>
    <w:p>
      <w:pPr>
        <w:widowControl w:val="on"/>
        <w:pBdr/>
      </w:pPr>
      <w:r>
        <w:rPr/>
        <w:t xml:space="preserve">¿Creen que estas luchas y reivindicaciones siguen siendo necesarias actualmente?</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Defensoría del Pueblo de Ecuador</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A5. De la cuna a la tumba</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Detectar violaciones de derechos por discriminación basada en la identidad colectiva a lo largo del ciclo de vida.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Participación, económicos, sociales y culturales, buen vivir, derechos de protección, identidad, libertad, cultura, dignidad, no discriminación, derechos colectivos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Carrusel, trabajo en grupos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6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30 mins
                <w:br/>
                • Reflexionar: 35 mins
                <w:br/>
                • Integrar conocimientos: 20 mins
                <w:br/>
                • Planificar para la acción: 15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 40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R4P. Declaración y Programa de Acción sobre una Cultura de Paz
                <w:br/>
                • R5. Mecanismos para la Solución de Conflictos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Papelógrafos
                <w:br/>
                • Marcadores
                <w:br/>
                • Tarjetas adhesivas de 3 colores 
                <w:br/>
                • Cinta adhesiva
              </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Laptop
                <w:br/>
                • Conexión a internet
                <w:br/>
                • Proyector
                <w:br/>
                • Parlantes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Al tratar este tema es muy probable que se pongan en evidencia casos graves de discriminación por origen étnico u otras características de la identidad personal o colectiva, por lo que el/la facilitador/a debe estar preparado/a para abordar el tema sin que el grupo se desvíe del objetivo de la actividad a cuestiones más personales.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30 mins</w:t>
      </w:r>
    </w:p>
    <w:p>
      <w:pPr>
        <w:widowControl w:val="on"/>
        <w:pBdr/>
      </w:pPr>
      <w:r>
        <w:rPr>
          <w:b/>
          <w:bCs/>
        </w:rPr>
        <w:t xml:space="preserve">Step 1</w:t>
      </w:r>
      <w:r>
        <w:rPr/>
        <w:t xml:space="preserve">. Instruya al grupo para que, en sesión plenaria, componga una definición de la frase "discriminación por identidad colectiva". Escriba la definición elaborada por el grupo en un lugar visible para todos/as, como la pizarra o un papelógrafo.</w:t>
      </w:r>
    </w:p>
    <w:p>
      <w:pPr>
        <w:widowControl w:val="on"/>
        <w:pBdr/>
      </w:pPr>
      <w:r>
        <w:rPr/>
        <w:t xml:space="preserve">(10 a 15 minutos)</w:t>
      </w:r>
    </w:p>
    <w:p w:rsidR="00A66EE4" w:rsidRPr="00746199" w:rsidRDefault="00A66EE4" w:rsidP="002D3517"/>
    <w:p>
      <w:pPr>
        <w:widowControl w:val="on"/>
        <w:pBdr/>
      </w:pPr>
      <w:r>
        <w:rPr>
          <w:b/>
          <w:bCs/>
        </w:rPr>
        <w:t xml:space="preserve">Step 2</w:t>
      </w:r>
      <w:r>
        <w:rPr/>
        <w:t xml:space="preserve">. Divida al público en grupos de 3 a 5 personas y entregue a cada grupo un papelógrafo y varias tarjetas de 3 colores distintos para cada etapa del ciclo de vida, por ejemplo: amarillo=niñez, verde=adultez y celeste=vejez.</w:t>
      </w:r>
    </w:p>
    <w:p w:rsidR="00A66EE4" w:rsidRPr="00746199" w:rsidRDefault="00A66EE4" w:rsidP="002D3517"/>
    <w:p>
      <w:pPr>
        <w:widowControl w:val="on"/>
        <w:pBdr/>
      </w:pPr>
      <w:r>
        <w:rPr>
          <w:b/>
          <w:bCs/>
        </w:rPr>
        <w:t xml:space="preserve">Step 3</w:t>
      </w:r>
      <w:r>
        <w:rPr/>
        <w:t xml:space="preserve">. Explique al grupo que en las tarjetas de colores deben escribir un ejemplo (por tarjeta) de formas de discriminación, violencia, o en general, de vulneración de derechos que las personas sufren a lo largo del ciclo de vida por condiciones o características propias de su identidad colectiva. Las tarjetas deben ser pegadas al papelógrafo.</w:t>
      </w:r>
    </w:p>
    <w:p>
      <w:pPr>
        <w:widowControl w:val="on"/>
        <w:pBdr/>
      </w:pPr>
      <w:r>
        <w:rPr/>
        <w:t xml:space="preserve">Invite a los/as participantes a considerar sus propias características identitarias. Se pueden escribir experiencias propias o a partir de lo que han conocido de otras personas.</w:t>
      </w:r>
    </w:p>
    <w:p>
      <w:pPr>
        <w:widowControl w:val="on"/>
        <w:pBdr/>
      </w:pPr>
      <w:r>
        <w:rPr/>
        <w:t xml:space="preserve">Anime a los/as participantes a considerar cuestiones que pueden perjudicado doblemente el ejercicio de derechos de una persona; por ejemplo, ser indígena y ser mujer.</w:t>
      </w:r>
    </w:p>
    <w:p>
      <w:pPr>
        <w:widowControl w:val="on"/>
        <w:pBdr/>
      </w:pPr>
      <w:r>
        <w:rPr/>
        <w:t xml:space="preserve">(10 a 15 minutos)</w:t>
      </w:r>
    </w:p>
    <w:p w:rsidR="00A66EE4" w:rsidRPr="00746199" w:rsidRDefault="00A66EE4" w:rsidP="002D3517"/>
    <w:p>
      <w:pPr>
        <w:widowControl w:val="on"/>
        <w:pBdr/>
      </w:pPr>
      <w:r>
        <w:rPr>
          <w:b/>
          <w:bCs/>
        </w:rPr>
        <w:t xml:space="preserve">Step 4</w:t>
      </w:r>
      <w:r>
        <w:rPr/>
        <w:t xml:space="preserve">. Al finalizar con los ejemplos, cada grupo debe colocar su papelógrafo con las tarjetas de ejemplos de violaciones de derechos adheridas, en un lugar visible del recinto.</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35 mins</w:t>
      </w:r>
    </w:p>
    <w:p>
      <w:pPr>
        <w:widowControl w:val="on"/>
        <w:pBdr/>
      </w:pPr>
      <w:r>
        <w:rPr>
          <w:b/>
          <w:bCs/>
        </w:rPr>
        <w:t xml:space="preserve">Step 5</w:t>
      </w:r>
      <w:r>
        <w:rPr/>
        <w:t xml:space="preserve">. Invite a las/os participantes a rotar por el salón acercándose a los papelógrafos de los otros grupos para conocer los ejemplos que elaboraron sus compañeros/as.</w:t>
      </w:r>
    </w:p>
    <w:p>
      <w:pPr>
        <w:widowControl w:val="on"/>
        <w:pBdr/>
      </w:pPr>
      <w:r>
        <w:rPr/>
        <w:t xml:space="preserve">(20 minutos)</w:t>
      </w:r>
    </w:p>
    <w:p w:rsidR="00A66EE4" w:rsidRPr="00746199" w:rsidRDefault="00A66EE4" w:rsidP="002D3517"/>
    <w:p>
      <w:pPr>
        <w:widowControl w:val="on"/>
        <w:pBdr/>
      </w:pPr>
      <w:r>
        <w:rPr>
          <w:b/>
          <w:bCs/>
        </w:rPr>
        <w:t xml:space="preserve">Step 6</w:t>
      </w:r>
      <w:r>
        <w:rPr/>
        <w:t xml:space="preserve">. Instruya a las personas para que regresen a sus lugares, formando un sólo grupo nuevamente, y solicite participaciones voluntarias sobre los hallazgos que consideren más importantes sobre la información presentada en el salón a través de los papelógrafos.</w:t>
      </w:r>
    </w:p>
    <w:p>
      <w:pPr>
        <w:widowControl w:val="on"/>
        <w:pBdr/>
      </w:pPr>
      <w:r>
        <w:rPr>
          <w:b/>
          <w:bCs/>
        </w:rPr>
        <w:t xml:space="preserve">Preguntas generadoras</w:t>
      </w:r>
      <w:r>
        <w:rPr/>
        <w:t xml:space="preserve">:</w:t>
      </w:r>
    </w:p>
    <w:p>
      <w:pPr>
        <w:widowControl w:val="on"/>
        <w:pBdr/>
      </w:pPr>
      <w:r>
        <w:rPr/>
        <w:t xml:space="preserve">¿Qué les sorprendió más de los ejemplos que se han presentado en el salón?</w:t>
      </w:r>
    </w:p>
    <w:p>
      <w:pPr>
        <w:widowControl w:val="on"/>
        <w:pBdr/>
      </w:pPr>
      <w:r>
        <w:rPr/>
        <w:t xml:space="preserve">¿Estaban conscientes de que existían tantas formas de vulneración de derechos por causa de la identidad colectiva que cada uno tenemos?</w:t>
      </w:r>
    </w:p>
    <w:p>
      <w:pPr>
        <w:widowControl w:val="on"/>
        <w:pBdr/>
      </w:pPr>
      <w:r>
        <w:rPr/>
        <w:t xml:space="preserve">¿Cómo creen que se ve afectado el proyecto de vida de cada uno/a por esta forma de discriminación?</w:t>
      </w:r>
    </w:p>
    <w:p>
      <w:pPr>
        <w:widowControl w:val="on"/>
        <w:pBdr/>
      </w:pPr>
      <w:r>
        <w:rPr/>
        <w:t xml:space="preserve">Reflexione con el grupo sobre cómo varían las formas de violencia y discriminación a lo largo del ciclo de vida, así como sus consecuencias. A la vez, comente que existen otros criterios, aparte de la edad de la persona (principalmente cuando se es niño/a, adolescente o adulto/a mayor), que las ponen en situación de doble o múltiple vulnerabilidad, como el sexo, el género, una condición discapacitante, etc. Utilice los ejemplos presentados por el grupo.</w:t>
      </w:r>
    </w:p>
    <w:p>
      <w:pPr>
        <w:widowControl w:val="on"/>
        <w:pBdr/>
      </w:pPr>
      <w:r>
        <w:rPr/>
        <w:t xml:space="preserve">(15 minutos)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R4P, R5</w:t>
      </w:r>
    </w:p>
    <w:p>
      <w:pPr>
        <w:widowControl w:val="on"/>
        <w:pBdr/>
      </w:pPr>
      <w:r>
        <w:rPr>
          <w:b/>
          <w:bCs/>
        </w:rPr>
        <w:t xml:space="preserve">Step 7</w:t>
      </w:r>
      <w:r>
        <w:rPr/>
        <w:t xml:space="preserve">. Comente con el grupo que estas formas históricas y sistémicas de discriminación por identidad colectiva han conllevado al reconocimiento de los derechos de las comunidades, pueblos y nacionalidades, como lo vemos hoy plasmado en instrumentos internacionales de derechos humanos y en la Constitución. (Los derechos de las comunidades, pueblos y nacionalidades se encuentran incluidos en el material entregado a las/os participantes al iniciar el taller, así como en la sección Recursos de este documento).</w:t>
      </w:r>
    </w:p>
    <w:p>
      <w:pPr>
        <w:widowControl w:val="on"/>
        <w:pBdr/>
      </w:pPr>
      <w:r>
        <w:rPr/>
        <w:t xml:space="preserve">La discriminación es </w:t>
      </w:r>
      <w:r>
        <w:rPr>
          <w:b/>
          <w:bCs/>
        </w:rPr>
        <w:t xml:space="preserve">histórica</w:t>
      </w:r>
      <w:r>
        <w:rPr/>
        <w:t xml:space="preserve"> porque estas prácticas se han repetido desde antes de la época de la colonia y continúan hasta la actualidad. Y es </w:t>
      </w:r>
      <w:r>
        <w:rPr>
          <w:b/>
          <w:bCs/>
        </w:rPr>
        <w:t xml:space="preserve">sistémica</w:t>
      </w:r>
      <w:r>
        <w:rPr/>
        <w:t xml:space="preserve"> porque no son sólo los pares los que discriminan sino que las propias estructuras sociales y estatales desconocen o irrespetan los derechos de grupos étnicos distintos al mestizo.</w:t>
      </w:r>
    </w:p>
    <w:p>
      <w:pPr>
        <w:widowControl w:val="on"/>
        <w:pBdr/>
      </w:pPr>
      <w:r>
        <w:rPr/>
        <w:t xml:space="preserve">Invite al grupo a revisar sus materiales del taller y comentar sobre su importancia o aspectos que consideren relevantes sobre los instrumentos jurídicos que allí constan.</w:t>
      </w:r>
    </w:p>
    <w:p w:rsidR="00A66EE4" w:rsidRPr="00746199" w:rsidRDefault="00A66EE4" w:rsidP="002D3517"/>
    <w:p>
      <w:pPr>
        <w:widowControl w:val="on"/>
        <w:pBdr/>
      </w:pPr>
      <w:r>
        <w:rPr>
          <w:b/>
          <w:bCs/>
        </w:rPr>
        <w:t xml:space="preserve">Step 8</w:t>
      </w:r>
      <w:r>
        <w:rPr/>
        <w:t xml:space="preserve">. Entre los materiales, solicite a las y los participantes a revisar la Declaración y Programa de Acción sobre una Cultura de Paz de Naciones Unidas. A continuación exponga el video "Cultura de Paz: Transformación de Conflictos", disponible como Recurso de este taller, y en YouTube.</w:t>
      </w:r>
    </w:p>
    <w:p w:rsidR="00A66EE4" w:rsidRPr="00746199" w:rsidRDefault="00A66EE4" w:rsidP="002D3517"/>
    <w:p w:rsidR="002D3517" w:rsidRPr="00746199" w:rsidRDefault="002D3517" w:rsidP="002D3517">
      <w:pPr>
        <w:pStyle w:val="Ttulo2"/>
        <w:jc w:val="right"/>
      </w:pPr>
      <w:r w:rsidRPr="00746199">
        <w:rPr>
          <w:color w:val="0F4A71" w:themeColor="accent2" w:themeShade="BF"/>
        </w:rPr>
        <w:t>Planificar para la acción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Step 9</w:t>
      </w:r>
      <w:r>
        <w:rPr/>
        <w:t xml:space="preserve">. Finalmente, inste a las/os participantes a generar formas o técnicas alternativas de solución de conflictos que permitan evitar la violencia, mediante una lluvia de ideas. Anote las ideas en un papelógrafo. Para ello puede guiarse en el documento "Mecanismos para la Resolución de Conflictos", disponible en la sección de Recursos.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Alejandra Soriano, adapted from Amnistía Internaciona, &amp;quot;Talleres de sensibilización sobre cuestiones de género&amp;quot;. (2004)</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R4P. Declaración y Programa de Acción sobre una Cultura de Paz</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fundamentales, derechos colectivos, mecanismos, educación en 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Resolución aprobada por la Asamblea General de Naciones Unidas para fomentar una cultura de paz y resolución pacífica de conflictos, respetando los derechos fundamentales de las personas y reconociendo la diversidad entre la población.</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R5. Mecanismos para la Solución de Conflictos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(link)</w:t>
            </w:r>
          </w:p>
        </w:tc>
      </w:tr>
      <w:tr w:rsidR="003E562D" w:rsidRPr="00746199" w:rsidTr="00A05F0E">
        <w:trPr>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Enlace externo</w:t>
            </w:r>
          </w:p>
        </w:tc>
        <w:tc>
          <w:tcPr>
            <w:tcW w:w="4889" w:type="dxa"/>
          </w:tcPr>
          <w:p w:rsidR="00B83084" w:rsidRPr="00746199" w:rsidRDefault="00B83084"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http://pppue.undp.2margraf.com/es/20_4.htm#top</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Adultos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colectivos, mecanismos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Documento elaborado por PNUD para la implementación de alianzas público privadas en beneficio de la población. En esta sección del documento se detallan las formas de solución de conflictos en general, entre las cuales se encuentran algunas técnicas eficaces de negociación, como la escucha activa, encontrar puntos de interés comunes, resistirse a utilizar la violencia, entre otros.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A6. Charla Expositiva: Definiciones Básicas de los Derechos Colectivos</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Ubicar los hechos históricos que conllevaron al reconocimiento de los derechos colectivos, y aproximarse a las definiciones más relevantes dentro del tema.</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humanos, derechos colectivos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Charla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Integrar conocimientos: 45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45 mins</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R6. Derechos Colectivos</w:t>
            </w:r>
          </w:p>
        </w:tc>
      </w:tr>
      <w:tr w:rsidR="005369CB" w:rsidRPr="00746199" w:rsidTr="0063480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5369CB" w:rsidP="00634801">
            <w:r w:rsidRPr="00746199">
              <w:t>Equipo</w:t>
            </w:r>
          </w:p>
        </w:tc>
        <w:tc>
          <w:tcPr>
            <w:tcW w:w="4889" w:type="dxa"/>
            <w:tcBorders>
              <w:top w:val="nil"/>
              <w:bottom w:val="nil"/>
            </w:tcBorders>
          </w:tcPr>
          <w:p w:rsidR="005369CB" w:rsidRPr="00746199" w:rsidRDefault="005369CB" w:rsidP="0063480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Laptop
                <w:br/>
                • Proyector
                <w:br/>
                • Diapositivas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Se recomienda utilizar las diapositivas de apoyo y fomentar la participación y debate del grupo.</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45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R6</w:t>
      </w:r>
    </w:p>
    <w:p>
      <w:pPr>
        <w:widowControl w:val="on"/>
        <w:pBdr/>
      </w:pPr>
      <w:r>
        <w:rPr>
          <w:b/>
          <w:bCs/>
        </w:rPr>
        <w:t xml:space="preserve">Step 1</w:t>
      </w:r>
      <w:r>
        <w:rPr/>
        <w:t xml:space="preserve">. Introduzca el tema al grupo, enlazando con la actividad anterior realizada, partiendo de esa experiencia para iniciar la teorización.</w:t>
      </w:r>
    </w:p>
    <w:p w:rsidR="00A66EE4" w:rsidRPr="00746199" w:rsidRDefault="00A66EE4" w:rsidP="002D3517"/>
    <w:p>
      <w:pPr>
        <w:widowControl w:val="on"/>
        <w:pBdr/>
      </w:pPr>
      <w:r>
        <w:rPr>
          <w:b/>
          <w:bCs/>
        </w:rPr>
        <w:t xml:space="preserve">Step 2</w:t>
      </w:r>
      <w:r>
        <w:rPr/>
        <w:t xml:space="preserve">. Coloque las diapositivas y fomente la participación voluntaria del grupo. Las diapositivas cuentan con notas para guiar al/la facilitador/a.</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Alejandra Soriano, adapted from Defensoría del Pueblo de Ecuador, &amp;quot;Módulos de Formación sobre Derechos Colectivos de los Pueblos y Nacionalidades del Ecuador&amp;quot;, OACDH, 2012 (2012)</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R6. Derechos Colectivos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(pptx)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Derechos colectivos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Presentación breve que contiene definiciones básicas e hitos históricos de los derechos colectivos de comunidades, pueblos y nacionalidades.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A7. Tangram</w:t>
      </w:r>
    </w:p>
    <w:p w:rsidR="000200C5" w:rsidRPr="00746199" w:rsidRDefault="000200C5" w:rsidP="00F06E22">
      <w:pPr>
        <w:keepNext/>
        <w:spacing w:after="120"/>
        <w:jc w:val="center"/>
        <w:rPr>
          <w:color w:val="A6A6A6" w:themeColor="background1" w:themeShade="A6"/>
          <w:sz w:val="20"/>
        </w:rPr>
      </w:pPr>
    </w:p>
    <w:p w:rsidR="008375CC" w:rsidRPr="00746199" w:rsidRDefault="00C31284" w:rsidP="008375CC">
      <w:pPr>
        <w:pStyle w:val="Label"/>
        <w:rPr>
          <w:color w:val="0F4A71" w:themeColor="accent2" w:themeShade="BF"/>
        </w:rPr>
      </w:pPr>
      <w:r>
        <w:rPr>
          <w:color w:val="0F4A71" w:themeColor="accent2" w:themeShade="BF"/>
        </w:rPr>
        <w:t>Adjunto</w:t>
      </w:r>
    </w:p>
    <w:p w:rsidR="000E3A35" w:rsidRPr="00746199" w:rsidRDefault="00C31284" w:rsidP="00993B40">
      <w:r>
        <w:t>R7. Casos Tangram.docx</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Construir estrategias jurídicas para defensa de casos de derechos colectivos.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Protección judicial, derechos colectivos, empoderamiento, mecanismos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Desarrollo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A distancia: autotutorado, A distancia: tutorado</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Rompecabezas</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4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Planificar para la acción: 1 hora</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 hora</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 R8P. Tangram
                <w:br/>
                • R9P. Casos de Derechos Colectivos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Papelógrafos
                <w:br/>
                • Marcadores
                <w:br/>
                • Fichas de tangram (si son elaboradas con cartulina o fomix)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Es necesario guiar a los/as participantes en la actividad física puesto que no todas las personas tienen destrezas con este tipo de rompecabezas.</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Planificar para la acción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 hora</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R8P, R9P</w:t>
      </w:r>
    </w:p>
    <w:p>
      <w:pPr>
        <w:widowControl w:val="on"/>
        <w:pBdr/>
      </w:pPr>
      <w:r>
        <w:rPr>
          <w:b/>
          <w:bCs/>
        </w:rPr>
        <w:t xml:space="preserve">Step 1</w:t>
      </w:r>
      <w:r>
        <w:rPr/>
        <w:t xml:space="preserve">. Divida al público en 4 grupos (preferiblemente de 4-6 personas) y entregue a cada uno de éstos un rompecabezas con las figuras que se pueden armar, y un caso de violación de derechos colectivos, disponible en la sección de Recursos del paquete de este taller.</w:t>
      </w:r>
    </w:p>
    <w:p w:rsidR="00A66EE4" w:rsidRPr="00746199" w:rsidRDefault="00A66EE4" w:rsidP="002D3517"/>
    <w:p>
      <w:pPr>
        <w:widowControl w:val="on"/>
        <w:pBdr/>
      </w:pPr>
      <w:r>
        <w:rPr>
          <w:b/>
          <w:bCs/>
        </w:rPr>
        <w:t xml:space="preserve">Step 2</w:t>
      </w:r>
      <w:r>
        <w:rPr/>
        <w:t xml:space="preserve">. Explique a las/os participantes que cada una de las piezas del rompecabezas (7 piezas) corresponde a un cuerpo normativo que les puede ser útil para resolver el caso que les tocó. Es indispensable usar las 7 piezas. </w:t>
      </w:r>
    </w:p>
    <w:p>
      <w:pPr>
        <w:widowControl w:val="on"/>
        <w:pBdr/>
      </w:pPr>
      <w:r>
        <w:rPr/>
        <w:t xml:space="preserve">Agregue que es necesario que revisen el material entregado al principio del taller puesto que ahí cuentan con algunas herramientas efectivas para defender y proteger derechos colectivos.</w:t>
      </w:r>
    </w:p>
    <w:p>
      <w:pPr>
        <w:widowControl w:val="on"/>
        <w:pBdr/>
      </w:pPr>
      <w:r>
        <w:rPr/>
        <w:t xml:space="preserve">Finalmente, póngase a disposición de los grupos para cualquier consulta sobre normativa que les puede servir en este caso.</w:t>
      </w:r>
    </w:p>
    <w:p>
      <w:pPr>
        <w:widowControl w:val="on"/>
        <w:pBdr/>
      </w:pPr>
      <w:r>
        <w:rPr/>
        <w:t xml:space="preserve">Tienen 10 minutos para analizar el caso y 20 minutos para discutir en el grupo la estrategia jurídica.</w:t>
      </w:r>
    </w:p>
    <w:p w:rsidR="00A66EE4" w:rsidRPr="00746199" w:rsidRDefault="00A66EE4" w:rsidP="002D3517"/>
    <w:p>
      <w:pPr>
        <w:widowControl w:val="on"/>
        <w:pBdr/>
      </w:pPr>
      <w:r>
        <w:rPr>
          <w:b/>
          <w:bCs/>
        </w:rPr>
        <w:t xml:space="preserve">Step 3</w:t>
      </w:r>
      <w:r>
        <w:rPr/>
        <w:t xml:space="preserve">. Una vez discutidos los casos, pida a cada grupo que exponga cómo armaron su rompecabezas.</w:t>
      </w:r>
    </w:p>
    <w:p>
      <w:pPr>
        <w:widowControl w:val="on"/>
        <w:pBdr/>
      </w:pPr>
      <w:r>
        <w:rPr/>
        <w:t xml:space="preserve">Inste a los/as oyentes a dar sugerencias sobre otras herramientas importantes para la defensa del caso que se expone</w:t>
      </w:r>
    </w:p>
    <w:p w:rsidR="00A66EE4" w:rsidRPr="00746199" w:rsidRDefault="00A66EE4" w:rsidP="002D3517"/>
    <w:p>
      <w:pPr>
        <w:widowControl w:val="on"/>
        <w:pBdr/>
      </w:pPr>
      <w:r>
        <w:rPr>
          <w:b/>
          <w:bCs/>
        </w:rPr>
        <w:t xml:space="preserve">Step 4</w:t>
      </w:r>
      <w:r>
        <w:rPr/>
        <w:t xml:space="preserve">. Finalice la actividad reflexionando sobre las siguientes ideas clave:</w:t>
      </w:r>
    </w:p>
    <w:p>
      <w:pPr>
        <w:widowControl w:val="on"/>
        <w:pBdr/>
      </w:pPr>
      <w:r>
        <w:rPr/>
        <w:t xml:space="preserve">      • En la defensa de derechos humanos, no es indispensable contar con un/a abogado/a para presentar casos ante la justicia, por eso es importante estar preparados para hacerlo cuando sea necesario.</w:t>
      </w:r>
    </w:p>
    <w:p>
      <w:pPr>
        <w:widowControl w:val="on"/>
        <w:pBdr/>
      </w:pPr>
      <w:r>
        <w:rPr/>
        <w:t xml:space="preserve">      • Al tratarse de derechos colectivos, cualquier persona de la comunidad afectada puede presentar el caso, así que no se debe demostrar interés personal. Sin embargo, es bueno coordinar entre todos para elaborar estrategias fuertes.</w:t>
      </w:r>
    </w:p>
    <w:p>
      <w:pPr>
        <w:widowControl w:val="on"/>
        <w:pBdr/>
      </w:pPr>
      <w:r>
        <w:rPr/>
        <w:t xml:space="preserve">      • No sólo las garantías jurisdiccionales están a disposición de la sociedad para la protección de derechos; existen garantías normativas y de políticas públicas también, las cuales deben ser aplicadas a través de procesos participativos.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Alejandra Soriano</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R8P. Tangram</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Niños, 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Protección judicial, derechos colectivos, empoderamiento, mecanismos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Figuras que pueden formarse con las piezas del tangram. Es importante relacionar las piezas o el rompecabezas con el tema de la actividad a la que se aplique este recurso.</w:t>
            </w:r>
          </w:p>
        </w:tc>
      </w:tr>
    </w:tbl>
    <w:p w:rsidR="003E562D" w:rsidRPr="00746199" w:rsidRDefault="003E562D" w:rsidP="00B83084"/>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R9P. Casos de Derechos Colectivos</w:t>
      </w:r>
    </w:p>
    <w:p w:rsidR="000200C5" w:rsidRPr="00746199" w:rsidRDefault="000200C5" w:rsidP="00F06E22">
      <w:pPr>
        <w:keepNext/>
        <w:spacing w:after="0"/>
        <w:jc w:val="center"/>
        <w:rPr>
          <w:color w:val="A6A6A6" w:themeColor="background1" w:themeShade="A6"/>
          <w:sz w:val="20"/>
        </w:rPr>
      </w:pPr>
      <w:r w:rsidRPr="00746199">
        <w:rPr>
          <w:color w:val="A6A6A6" w:themeColor="background1" w:themeShade="A6"/>
          <w:sz w:val="20"/>
        </w:rPr>
        <w:t>for participants</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(pdf)</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Protección judicial, derechos colectivos, mecanismos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Casos emblemáticos de derechos colectivos en los que intervino la Defensoría del Pueblo para proteger derechos a través de diversos mecanismos.</w:t>
            </w:r>
          </w:p>
        </w:tc>
      </w:tr>
    </w:tbl>
    <w:p w:rsidR="003E562D" w:rsidRPr="00746199" w:rsidRDefault="003E562D" w:rsidP="00B83084"/>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A8. Evaluación: Tiro al blanco</w:t>
      </w:r>
    </w:p>
    <w:p w:rsidR="000200C5" w:rsidRPr="00746199" w:rsidRDefault="000200C5" w:rsidP="00F06E22">
      <w:pPr>
        <w:keepNext/>
        <w:spacing w:after="120"/>
        <w:jc w:val="center"/>
        <w:rPr>
          <w:color w:val="A6A6A6" w:themeColor="background1" w:themeShade="A6"/>
          <w:sz w:val="20"/>
        </w:rPr>
      </w:pP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Conocer la opinión de las personas participantes sobre aspectos relacionados con los contenidos, facilitación y logística de una sesión.</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Evaluación</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Vincular con la experiencia: 20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30 mins (modificado del original)</w:t>
            </w:r>
          </w:p>
        </w:tc>
      </w:tr>
      <w:tr w:rsidR="008375CC"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Recursos</w:t>
            </w:r>
          </w:p>
        </w:tc>
        <w:tc>
          <w:tcPr>
            <w:tcW w:w="4889" w:type="dxa"/>
            <w:tcBorders>
              <w:top w:val="nil"/>
              <w:bottom w:val="nil"/>
            </w:tcBorders>
          </w:tcPr>
          <w:p w:rsidR="008375CC" w:rsidRPr="00746199" w:rsidRDefault="00572CD5" w:rsidP="00572CD5">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 R10. Diagrama: Tiro al blanco</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Papelógrafo
                <w:br/>
                • Marcadores
                <w:br/>
                • Pegatinas de colores (4 colores) para cada participante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Los aspectos de cada cuadrante pueden variar en función de las necesidades de evaluación de cada proceso.</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20 mins</w:t>
      </w:r>
    </w:p>
    <w:p w:rsidR="002D3517" w:rsidRPr="00746199" w:rsidRDefault="00B738DD" w:rsidP="004B1CE9">
      <w:pPr>
        <w:spacing w:after="240"/>
        <w:jc w:val="right"/>
        <w:rPr>
          <w:rFonts w:asciiTheme="majorHAnsi" w:hAnsiTheme="majorHAnsi"/>
          <w:sz w:val="24"/>
          <w:szCs w:val="24"/>
        </w:rPr>
      </w:pPr>
      <w:r w:rsidRPr="00746199">
        <w:rPr>
          <w:rFonts w:asciiTheme="majorHAnsi" w:hAnsiTheme="majorHAnsi"/>
          <w:color w:val="0F4A71" w:themeColor="accent2" w:themeShade="BF"/>
          <w:sz w:val="24"/>
          <w:szCs w:val="24"/>
        </w:rPr>
        <w:t>Recursos</w:t>
      </w:r>
      <w:r w:rsidR="002D3517" w:rsidRPr="00746199">
        <w:rPr>
          <w:rFonts w:asciiTheme="majorHAnsi" w:hAnsiTheme="majorHAnsi"/>
          <w:color w:val="0F4A71" w:themeColor="accent2" w:themeShade="BF"/>
          <w:sz w:val="24"/>
          <w:szCs w:val="24"/>
        </w:rPr>
        <w:t xml:space="preserve">: </w:t>
      </w:r>
      <w:r w:rsidR="002D3517" w:rsidRPr="00746199">
        <w:rPr>
          <w:rFonts w:asciiTheme="majorHAnsi" w:hAnsiTheme="majorHAnsi"/>
          <w:sz w:val="24"/>
          <w:szCs w:val="24"/>
        </w:rPr>
        <w:t>R10</w:t>
      </w:r>
    </w:p>
    <w:p>
      <w:pPr>
        <w:widowControl w:val="on"/>
        <w:pBdr/>
      </w:pPr>
      <w:r>
        <w:rPr>
          <w:b/>
          <w:bCs/>
        </w:rPr>
        <w:t xml:space="preserve">Step 1</w:t>
      </w:r>
      <w:r>
        <w:rPr/>
        <w:t xml:space="preserve">. Previamente, dibuje en un papelógrafo, una copia del recurso "Diagrama: Tiro al blanco".</w:t>
      </w:r>
    </w:p>
    <w:p w:rsidR="00A66EE4" w:rsidRPr="00746199" w:rsidRDefault="00A66EE4" w:rsidP="002D3517"/>
    <w:p>
      <w:pPr>
        <w:widowControl w:val="on"/>
        <w:pBdr/>
      </w:pPr>
      <w:r>
        <w:rPr>
          <w:b/>
          <w:bCs/>
        </w:rPr>
        <w:t xml:space="preserve">Step 2</w:t>
      </w:r>
      <w:r>
        <w:rPr/>
        <w:t xml:space="preserve">. Ubique el “Diagrama: Tiro al blanco” en un lugar estratégico de fácil acceso y visible para las/os participantes.</w:t>
      </w:r>
    </w:p>
    <w:p w:rsidR="00A66EE4" w:rsidRPr="00746199" w:rsidRDefault="00A66EE4" w:rsidP="002D3517"/>
    <w:p>
      <w:pPr>
        <w:widowControl w:val="on"/>
        <w:pBdr/>
      </w:pPr>
      <w:r>
        <w:rPr>
          <w:b/>
          <w:bCs/>
        </w:rPr>
        <w:t xml:space="preserve">Step 3</w:t>
      </w:r>
      <w:r>
        <w:rPr/>
        <w:t xml:space="preserve">. Informe a todas y todos que van a participar en una actividad de evaluación en la que responderán pegando notas adhesivas o pegatinas de distintos colores en el diagrama.</w:t>
      </w:r>
    </w:p>
    <w:p w:rsidR="00A66EE4" w:rsidRPr="00746199" w:rsidRDefault="00A66EE4" w:rsidP="002D3517"/>
    <w:p>
      <w:pPr>
        <w:widowControl w:val="on"/>
        <w:pBdr/>
      </w:pPr>
      <w:r>
        <w:rPr>
          <w:b/>
          <w:bCs/>
        </w:rPr>
        <w:t xml:space="preserve">Step 4</w:t>
      </w:r>
      <w:r>
        <w:rPr/>
        <w:t xml:space="preserve">. Explique a las personas participantes que el diagrama está dividido en 4 partes y que cada cuadrante evalúa aspectos del proceso: facilitación, contenidos, materiales y recursos y la participación del público objetivo.</w:t>
      </w:r>
    </w:p>
    <w:p w:rsidR="00A66EE4" w:rsidRPr="00746199" w:rsidRDefault="00A66EE4" w:rsidP="002D3517"/>
    <w:p>
      <w:pPr>
        <w:widowControl w:val="on"/>
        <w:pBdr/>
      </w:pPr>
      <w:r>
        <w:rPr>
          <w:b/>
          <w:bCs/>
        </w:rPr>
        <w:t xml:space="preserve">Step 5</w:t>
      </w:r>
      <w:r>
        <w:rPr/>
        <w:t xml:space="preserve">. Entregue a cada participante cuatro pegatinas redondas o notas adhesivas de distintos colores y explíqueles que cada color corresponde a un cuadrante. Así por ejemplo, el color azul al cuadrante 1, el color verde al cuadrante 2, el color amarillo al cuadrante 3 y el rojo al cuadrante 4.</w:t>
      </w:r>
    </w:p>
    <w:p w:rsidR="00A66EE4" w:rsidRPr="00746199" w:rsidRDefault="00A66EE4" w:rsidP="002D3517"/>
    <w:p>
      <w:pPr>
        <w:widowControl w:val="on"/>
        <w:pBdr/>
      </w:pPr>
      <w:r>
        <w:rPr>
          <w:b/>
          <w:bCs/>
        </w:rPr>
        <w:t xml:space="preserve">Step 6</w:t>
      </w:r>
      <w:r>
        <w:rPr/>
        <w:t xml:space="preserve">. Indique a los/as participantes que para evaluar el taller deben colocar la pegatina del color correspondiente en la parte que crean conveniente, teniendo como criterio que mientras más cerca del centro se ubique las pegatinas es mejor la calificación.</w:t>
      </w:r>
    </w:p>
    <w:p w:rsidR="00A66EE4" w:rsidRPr="00746199" w:rsidRDefault="00A66EE4" w:rsidP="002D3517"/>
    <w:p>
      <w:pPr>
        <w:widowControl w:val="on"/>
        <w:pBdr/>
      </w:pPr>
      <w:r>
        <w:rPr>
          <w:b/>
          <w:bCs/>
        </w:rPr>
        <w:t xml:space="preserve">Step 7</w:t>
      </w:r>
      <w:r>
        <w:rPr/>
        <w:t xml:space="preserve">. Una vez ubicadas las pegatinas en el diagrama, pregunte a las/os participantes si desean realizar algún comentario adicional, de obtener una respuesta afirmativa, entregue una hoja en blanco para que realice el comentario deseado.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Activity created by Defensoría del Pueblo de Ecuador, adapted from Equitas - Centro Internacional para la educación en Derechos Humanos y Oficina del Alto Comisionado de las Naciones Unidas para los Derechos Humanos, Cómo evaluar las actividades de capacitación en derechos humanos: Manual para educadores (2010)</w:t>
      </w:r>
    </w:p>
    <w:p w:rsidR="00B83084" w:rsidRPr="00746199" w:rsidRDefault="00B83084" w:rsidP="00B83084">
      <w:r w:rsidRPr="00746199">
        <w:t/>
      </w:r>
    </w:p>
    <w:p w:rsidR="00B83084" w:rsidRPr="00746199" w:rsidRDefault="00B83084" w:rsidP="00B83084"/>
    <w:p w:rsidR="00B83084" w:rsidRPr="00746199" w:rsidRDefault="00B83084" w:rsidP="00872397">
      <w:pPr>
        <w:pStyle w:val="Label"/>
        <w:keepNext/>
        <w:jc w:val="center"/>
        <w:rPr>
          <w:color w:val="096B67" w:themeColor="accent3" w:themeShade="BF"/>
        </w:rPr>
      </w:pPr>
      <w:r w:rsidRPr="00746199">
        <w:rPr>
          <w:color w:val="096B67" w:themeColor="accent3" w:themeShade="BF"/>
        </w:rPr>
        <w:t>Recurso</w:t>
      </w:r>
    </w:p>
    <w:p w:rsidR="00B83084" w:rsidRPr="00746199" w:rsidRDefault="00B83084" w:rsidP="00F06E22">
      <w:pPr>
        <w:pStyle w:val="Ttulo1"/>
        <w:spacing w:after="0"/>
        <w:rPr>
          <w:color w:val="096B67" w:themeColor="accent3" w:themeShade="BF"/>
        </w:rPr>
      </w:pPr>
      <w:r w:rsidRPr="00746199">
        <w:rPr>
          <w:color w:val="096B67" w:themeColor="accent3" w:themeShade="BF"/>
        </w:rPr>
        <w:t>R10. Diagrama: Tiro al blanco</w:t>
      </w:r>
    </w:p>
    <w:p w:rsidR="000200C5" w:rsidRPr="00746199" w:rsidRDefault="000200C5" w:rsidP="00F06E22">
      <w:pPr>
        <w:keepNext/>
        <w:spacing w:after="120"/>
        <w:jc w:val="center"/>
        <w:rPr>
          <w:color w:val="A6A6A6" w:themeColor="background1" w:themeShade="A6"/>
          <w:sz w:val="20"/>
        </w:rPr>
      </w:pPr>
    </w:p>
    <w:tbl>
      <w:tblPr>
        <w:tblStyle w:val="Tabladecuadrcula5oscura-nfasis3"/>
        <w:tblW w:w="7650" w:type="dxa"/>
        <w:jc w:val="center"/>
        <w:tblBorders>
          <w:top w:val="single" w:sz="4" w:space="0" w:color="0C8F8A" w:themeColor="accent3"/>
          <w:left w:val="single" w:sz="4" w:space="0" w:color="0C8F8A" w:themeColor="accent3"/>
          <w:bottom w:val="single" w:sz="4" w:space="0" w:color="0C8F8A" w:themeColor="accent3"/>
          <w:right w:val="single" w:sz="4" w:space="0" w:color="0C8F8A" w:themeColor="accent3"/>
          <w:insideH w:val="none" w:sz="0" w:space="0" w:color="auto"/>
          <w:insideV w:val="single" w:sz="4" w:space="0" w:color="0C8F8A" w:themeColor="accent3"/>
        </w:tblBorders>
        <w:tblCellMar>
          <w:top w:w="57" w:type="dxa"/>
          <w:bottom w:w="57" w:type="dxa"/>
        </w:tblCellMar>
        <w:tblLook w:val="0480" w:firstRow="0" w:lastRow="0" w:firstColumn="1" w:lastColumn="0" w:noHBand="0" w:noVBand="1"/>
      </w:tblPr>
      <w:tblGrid>
        <w:gridCol w:w="2761"/>
        <w:gridCol w:w="4889"/>
      </w:tblGrid>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one" w:sz="0" w:space="0" w:color="auto"/>
              <w:left w:val="none" w:sz="0" w:space="0" w:color="auto"/>
            </w:tcBorders>
          </w:tcPr>
          <w:p w:rsidR="00B83084" w:rsidRPr="00746199" w:rsidRDefault="00B83084" w:rsidP="00872397">
            <w:pPr>
              <w:keepNext/>
            </w:pPr>
            <w:r w:rsidRPr="00746199">
              <w:t>Tipo</w:t>
            </w:r>
          </w:p>
        </w:tc>
        <w:tc>
          <w:tcPr>
            <w:tcW w:w="4889" w:type="dxa"/>
          </w:tcPr>
          <w:p w:rsidR="00B83084" w:rsidRPr="00746199" w:rsidRDefault="00B83084" w:rsidP="00872397">
            <w:pPr>
              <w:keepNext/>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Documento (docx)</w:t>
            </w:r>
          </w:p>
        </w:tc>
      </w:tr>
      <w:tr w:rsidR="00A05F0E"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A05F0E" w:rsidRPr="00746199" w:rsidRDefault="00A05F0E" w:rsidP="00872397">
            <w:pPr>
              <w:keepNext/>
            </w:pPr>
            <w:r w:rsidRPr="00746199">
              <w:t>Audiencia</w:t>
            </w:r>
          </w:p>
        </w:tc>
        <w:tc>
          <w:tcPr>
            <w:tcW w:w="4889" w:type="dxa"/>
          </w:tcPr>
          <w:p w:rsidR="00A05F0E" w:rsidRPr="00746199" w:rsidRDefault="00A05F0E" w:rsidP="00872397">
            <w:pPr>
              <w:keepNext/>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Niños, adolescentes, adultos, adultos mayores</w:t>
            </w:r>
          </w:p>
        </w:tc>
      </w:tr>
      <w:tr w:rsidR="003E562D" w:rsidRPr="00746199" w:rsidTr="00A05F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Temas</w:t>
            </w:r>
          </w:p>
        </w:tc>
        <w:tc>
          <w:tcPr>
            <w:tcW w:w="4889" w:type="dxa"/>
          </w:tcPr>
          <w:p w:rsidR="00B83084" w:rsidRPr="00746199" w:rsidRDefault="00A05F0E" w:rsidP="00872397">
            <w:pPr>
              <w:keepNext/>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Educación en derechos humanos</w:t>
            </w:r>
          </w:p>
        </w:tc>
      </w:tr>
      <w:tr w:rsidR="00B83084" w:rsidRPr="00746199" w:rsidTr="00A05F0E">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tcBorders>
          </w:tcPr>
          <w:p w:rsidR="00B83084" w:rsidRPr="00746199" w:rsidRDefault="00B83084" w:rsidP="00872397">
            <w:pPr>
              <w:keepNext/>
            </w:pPr>
            <w:r w:rsidRPr="00746199">
              <w:t>Descripción</w:t>
            </w:r>
          </w:p>
        </w:tc>
        <w:tc>
          <w:tcPr>
            <w:tcW w:w="4889" w:type="dxa"/>
          </w:tcPr>
          <w:p>
            <w:pPr>
              <w:widowControl w:val="on"/>
              <w:pBdr/>
            </w:pPr>
            <w:r>
              <w:rPr>
                <w:sz w:val="20"/>
                <w:szCs w:val="20"/>
              </w:rPr>
              <w:t xml:space="preserve">Diagrama que contiene tres círculos concéntricos, divididos en 4 cuadrantes, que evalúan la facilitación, los contenidos, materiales y recursos y la participación del público objetivo de un proceso educativo.</w:t>
            </w:r>
          </w:p>
        </w:tc>
      </w:tr>
    </w:tbl>
    <w:p w:rsidR="003E562D" w:rsidRPr="00746199" w:rsidRDefault="003E562D" w:rsidP="00B83084"/>
    <w:p w:rsidR="002E3757" w:rsidRPr="00746199" w:rsidRDefault="002E3757" w:rsidP="003714F3"/>
    <w:sectPr w:rsidR="002E3757" w:rsidRPr="00746199" w:rsidSect="006A122B">
      <w:headerReference w:type="default" r:id="rId7"/>
      <w:footerReference w:type="default" r:id="rId8"/>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698" w:rsidRDefault="00FD2698" w:rsidP="00F00E89">
      <w:pPr>
        <w:spacing w:after="0" w:line="240" w:lineRule="auto"/>
      </w:pPr>
      <w:r>
        <w:separator/>
      </w:r>
    </w:p>
  </w:endnote>
  <w:endnote w:type="continuationSeparator" w:id="0">
    <w:p w:rsidR="00FD2698" w:rsidRDefault="00FD2698" w:rsidP="00F0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8B1" w:rsidRDefault="00AB38B1" w:rsidP="00AB38B1">
    <w:pPr>
      <w:pStyle w:val="Piedepgina"/>
      <w:pBdr>
        <w:bottom w:val="single" w:sz="4" w:space="1" w:color="7F7F7F" w:themeColor="text1" w:themeTint="80"/>
      </w:pBdr>
      <w:jc w:val="center"/>
      <w:rPr>
        <w:lang w:val="es-EC"/>
      </w:rPr>
    </w:pPr>
  </w:p>
  <w:p w:rsidR="00C52BFE" w:rsidRDefault="00AB38B1" w:rsidP="007C40A6">
    <w:pPr>
      <w:pStyle w:val="Piedepgina"/>
      <w:tabs>
        <w:tab w:val="clear" w:pos="4680"/>
      </w:tabs>
      <w:spacing w:before="60"/>
      <w:rPr>
        <w:noProof/>
      </w:rPr>
    </w:pPr>
    <w:r>
      <w:rPr>
        <w:lang w:val="es-EC"/>
      </w:rPr>
      <w:t>http://facilitar.io/es/taller/derechos-humanos-y-derechos-colectivos-sociedad</w:t>
    </w:r>
    <w:r w:rsidRPr="00CA6F6E">
      <w:rPr>
        <w:lang w:val="es-EC"/>
      </w:rPr>
      <w:tab/>
    </w:r>
    <w:r>
      <w:fldChar w:fldCharType="begin"/>
    </w:r>
    <w:r w:rsidRPr="00CA6F6E">
      <w:rPr>
        <w:lang w:val="es-EC"/>
      </w:rPr>
      <w:instrText xml:space="preserve"> PAGE   \* MERGEFORMAT </w:instrText>
    </w:r>
    <w:r>
      <w:fldChar w:fldCharType="separate"/>
    </w:r>
    <w:r w:rsidR="0080566A">
      <w:rPr>
        <w:noProof/>
        <w:lang w:val="es-EC"/>
      </w:rPr>
      <w:t>4</w:t>
    </w:r>
    <w:r>
      <w:rPr>
        <w:noProof/>
      </w:rPr>
      <w:fldChar w:fldCharType="end"/>
    </w:r>
  </w:p>
  <w:p w:rsidR="007C40A6" w:rsidRPr="00AB38B1" w:rsidRDefault="007C40A6" w:rsidP="007C40A6">
    <w:pPr>
      <w:pStyle w:val="Piedepgina"/>
      <w:tabs>
        <w:tab w:val="clear" w:pos="4680"/>
      </w:tabs>
      <w:spacing w:before="60"/>
      <w:rPr>
        <w:lang w:val="es-EC"/>
      </w:rPr>
    </w:pPr>
    <w:r>
      <w:rPr>
        <w:noProof/>
      </w:rPr>
      <w:drawing>
        <wp:anchor distT="0" distB="0" distL="114300" distR="114300" simplePos="0" relativeHeight="251659264" behindDoc="0" locked="0" layoutInCell="1" allowOverlap="1" wp14:anchorId="7EED83A5" wp14:editId="78E0544A">
          <wp:simplePos x="0" y="0"/>
          <wp:positionH relativeFrom="column">
            <wp:posOffset>-28575</wp:posOffset>
          </wp:positionH>
          <wp:positionV relativeFrom="bottomMargin">
            <wp:posOffset>412750</wp:posOffset>
          </wp:positionV>
          <wp:extent cx="1031875" cy="190500"/>
          <wp:effectExtent l="0" t="0" r="0" b="0"/>
          <wp:wrapNone/>
          <wp:docPr id="1" name="Picture 1" descr="logo 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i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1875" cy="1905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698" w:rsidRDefault="00FD2698" w:rsidP="00F00E89">
      <w:pPr>
        <w:spacing w:after="0" w:line="240" w:lineRule="auto"/>
      </w:pPr>
      <w:r>
        <w:separator/>
      </w:r>
    </w:p>
  </w:footnote>
  <w:footnote w:type="continuationSeparator" w:id="0">
    <w:p w:rsidR="00FD2698" w:rsidRDefault="00FD2698" w:rsidP="00F00E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BAA" w:rsidRPr="006A122B" w:rsidRDefault="005D3BAA" w:rsidP="006A122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718"/>
    <w:multiLevelType w:val="hybridMultilevel"/>
    <w:tmpl w:val="1DCC8010"/>
    <w:lvl w:ilvl="0" w:tplc="5378849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E89"/>
    <w:rsid w:val="00002E96"/>
    <w:rsid w:val="000200C5"/>
    <w:rsid w:val="0005362F"/>
    <w:rsid w:val="000565F4"/>
    <w:rsid w:val="00074A09"/>
    <w:rsid w:val="0008179E"/>
    <w:rsid w:val="00086587"/>
    <w:rsid w:val="00096D12"/>
    <w:rsid w:val="000C50EB"/>
    <w:rsid w:val="000D52D2"/>
    <w:rsid w:val="000D6D30"/>
    <w:rsid w:val="000E3A35"/>
    <w:rsid w:val="000F4D2D"/>
    <w:rsid w:val="00135F33"/>
    <w:rsid w:val="001A71AE"/>
    <w:rsid w:val="001F2184"/>
    <w:rsid w:val="00225892"/>
    <w:rsid w:val="00225AAE"/>
    <w:rsid w:val="00233520"/>
    <w:rsid w:val="00246704"/>
    <w:rsid w:val="0026281E"/>
    <w:rsid w:val="002A0110"/>
    <w:rsid w:val="002A2407"/>
    <w:rsid w:val="002B5A27"/>
    <w:rsid w:val="002D3517"/>
    <w:rsid w:val="002E3757"/>
    <w:rsid w:val="00307F77"/>
    <w:rsid w:val="00316655"/>
    <w:rsid w:val="003714F3"/>
    <w:rsid w:val="003851B7"/>
    <w:rsid w:val="003A0893"/>
    <w:rsid w:val="003A1C90"/>
    <w:rsid w:val="003D6396"/>
    <w:rsid w:val="003E562D"/>
    <w:rsid w:val="003F7CA8"/>
    <w:rsid w:val="00403DEB"/>
    <w:rsid w:val="00450B39"/>
    <w:rsid w:val="00463D62"/>
    <w:rsid w:val="00491B54"/>
    <w:rsid w:val="00496F65"/>
    <w:rsid w:val="004A1A7C"/>
    <w:rsid w:val="004B1CE9"/>
    <w:rsid w:val="004D17E7"/>
    <w:rsid w:val="004E64F1"/>
    <w:rsid w:val="004F0248"/>
    <w:rsid w:val="004F10EE"/>
    <w:rsid w:val="0052711F"/>
    <w:rsid w:val="005369CB"/>
    <w:rsid w:val="005415D9"/>
    <w:rsid w:val="00572CD5"/>
    <w:rsid w:val="00577443"/>
    <w:rsid w:val="005923E0"/>
    <w:rsid w:val="0059418E"/>
    <w:rsid w:val="005D3BAA"/>
    <w:rsid w:val="00622B50"/>
    <w:rsid w:val="006236BF"/>
    <w:rsid w:val="00630771"/>
    <w:rsid w:val="00676DE0"/>
    <w:rsid w:val="00697316"/>
    <w:rsid w:val="006A122B"/>
    <w:rsid w:val="006B5783"/>
    <w:rsid w:val="006C51A0"/>
    <w:rsid w:val="006E0FE6"/>
    <w:rsid w:val="006F65EE"/>
    <w:rsid w:val="00745E71"/>
    <w:rsid w:val="00746199"/>
    <w:rsid w:val="00753520"/>
    <w:rsid w:val="007B07BD"/>
    <w:rsid w:val="007C40A6"/>
    <w:rsid w:val="007C5684"/>
    <w:rsid w:val="007D06D1"/>
    <w:rsid w:val="007D5ACA"/>
    <w:rsid w:val="007E4C9C"/>
    <w:rsid w:val="007F063B"/>
    <w:rsid w:val="0080566A"/>
    <w:rsid w:val="00836A49"/>
    <w:rsid w:val="008375CC"/>
    <w:rsid w:val="00870F72"/>
    <w:rsid w:val="00872397"/>
    <w:rsid w:val="00887559"/>
    <w:rsid w:val="008A2474"/>
    <w:rsid w:val="008B5E92"/>
    <w:rsid w:val="008B6416"/>
    <w:rsid w:val="008C4698"/>
    <w:rsid w:val="008C4EB0"/>
    <w:rsid w:val="00903E80"/>
    <w:rsid w:val="00913856"/>
    <w:rsid w:val="009217C0"/>
    <w:rsid w:val="00931B6A"/>
    <w:rsid w:val="009356BA"/>
    <w:rsid w:val="0098274A"/>
    <w:rsid w:val="00993B40"/>
    <w:rsid w:val="009C5536"/>
    <w:rsid w:val="00A05F0E"/>
    <w:rsid w:val="00A557BC"/>
    <w:rsid w:val="00A66CA6"/>
    <w:rsid w:val="00A66EE4"/>
    <w:rsid w:val="00A879FA"/>
    <w:rsid w:val="00A95C36"/>
    <w:rsid w:val="00AA19C1"/>
    <w:rsid w:val="00AB38B1"/>
    <w:rsid w:val="00AB6DCE"/>
    <w:rsid w:val="00AB7489"/>
    <w:rsid w:val="00AF2399"/>
    <w:rsid w:val="00B40B6F"/>
    <w:rsid w:val="00B71121"/>
    <w:rsid w:val="00B738DD"/>
    <w:rsid w:val="00B83084"/>
    <w:rsid w:val="00BC2C6E"/>
    <w:rsid w:val="00BF5518"/>
    <w:rsid w:val="00C062AE"/>
    <w:rsid w:val="00C31284"/>
    <w:rsid w:val="00C52BFE"/>
    <w:rsid w:val="00C85634"/>
    <w:rsid w:val="00C92959"/>
    <w:rsid w:val="00C976C3"/>
    <w:rsid w:val="00D4599D"/>
    <w:rsid w:val="00DE3816"/>
    <w:rsid w:val="00DE76F0"/>
    <w:rsid w:val="00DF14F4"/>
    <w:rsid w:val="00DF1BC9"/>
    <w:rsid w:val="00DF2945"/>
    <w:rsid w:val="00DF72E9"/>
    <w:rsid w:val="00E01635"/>
    <w:rsid w:val="00E11DF8"/>
    <w:rsid w:val="00E140C6"/>
    <w:rsid w:val="00E1757F"/>
    <w:rsid w:val="00E53D52"/>
    <w:rsid w:val="00E614B9"/>
    <w:rsid w:val="00E64438"/>
    <w:rsid w:val="00E9458B"/>
    <w:rsid w:val="00EA2F1C"/>
    <w:rsid w:val="00EB7159"/>
    <w:rsid w:val="00EF2F90"/>
    <w:rsid w:val="00F00E89"/>
    <w:rsid w:val="00F06E22"/>
    <w:rsid w:val="00F16A5A"/>
    <w:rsid w:val="00F36F83"/>
    <w:rsid w:val="00F47896"/>
    <w:rsid w:val="00FB121E"/>
    <w:rsid w:val="00FB4A42"/>
    <w:rsid w:val="00FC28A6"/>
    <w:rsid w:val="00FD2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B3BF38-B83E-4F56-B67A-45DBB44E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7B07BD"/>
    <w:pPr>
      <w:keepNext/>
      <w:keepLines/>
      <w:spacing w:before="240" w:after="360"/>
      <w:jc w:val="center"/>
      <w:outlineLvl w:val="0"/>
    </w:pPr>
    <w:rPr>
      <w:rFonts w:asciiTheme="majorHAnsi" w:eastAsiaTheme="majorEastAsia" w:hAnsiTheme="majorHAnsi" w:cstheme="majorBidi"/>
      <w:b/>
      <w:color w:val="B0600E" w:themeColor="accent1" w:themeShade="BF"/>
      <w:sz w:val="36"/>
      <w:szCs w:val="36"/>
    </w:rPr>
  </w:style>
  <w:style w:type="paragraph" w:styleId="Ttulo2">
    <w:name w:val="heading 2"/>
    <w:basedOn w:val="Normal"/>
    <w:next w:val="Normal"/>
    <w:link w:val="Ttulo2Car"/>
    <w:uiPriority w:val="9"/>
    <w:unhideWhenUsed/>
    <w:qFormat/>
    <w:rsid w:val="00F00E89"/>
    <w:pPr>
      <w:keepNext/>
      <w:keepLines/>
      <w:spacing w:before="40" w:after="0"/>
      <w:outlineLvl w:val="1"/>
    </w:pPr>
    <w:rPr>
      <w:rFonts w:asciiTheme="majorHAnsi" w:eastAsiaTheme="majorEastAsia" w:hAnsiTheme="majorHAnsi" w:cstheme="majorBidi"/>
      <w:color w:val="B0600E" w:themeColor="accent1" w:themeShade="BF"/>
      <w:sz w:val="26"/>
      <w:szCs w:val="26"/>
    </w:rPr>
  </w:style>
  <w:style w:type="paragraph" w:styleId="Ttulo3">
    <w:name w:val="heading 3"/>
    <w:basedOn w:val="Normal"/>
    <w:next w:val="Normal"/>
    <w:link w:val="Ttulo3Car"/>
    <w:uiPriority w:val="9"/>
    <w:unhideWhenUsed/>
    <w:qFormat/>
    <w:rsid w:val="008C4EB0"/>
    <w:pPr>
      <w:keepNext/>
      <w:keepLines/>
      <w:spacing w:before="40" w:after="0"/>
      <w:outlineLvl w:val="2"/>
    </w:pPr>
    <w:rPr>
      <w:rFonts w:asciiTheme="majorHAnsi" w:eastAsiaTheme="majorEastAsia" w:hAnsiTheme="majorHAnsi" w:cstheme="majorBidi"/>
      <w:color w:val="754009"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00E8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00E89"/>
  </w:style>
  <w:style w:type="paragraph" w:styleId="Piedepgina">
    <w:name w:val="footer"/>
    <w:basedOn w:val="Normal"/>
    <w:link w:val="PiedepginaCar"/>
    <w:uiPriority w:val="99"/>
    <w:unhideWhenUsed/>
    <w:rsid w:val="00F00E8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00E89"/>
  </w:style>
  <w:style w:type="character" w:customStyle="1" w:styleId="Ttulo1Car">
    <w:name w:val="Título 1 Car"/>
    <w:basedOn w:val="Fuentedeprrafopredeter"/>
    <w:link w:val="Ttulo1"/>
    <w:uiPriority w:val="9"/>
    <w:rsid w:val="007B07BD"/>
    <w:rPr>
      <w:rFonts w:asciiTheme="majorHAnsi" w:eastAsiaTheme="majorEastAsia" w:hAnsiTheme="majorHAnsi" w:cstheme="majorBidi"/>
      <w:b/>
      <w:color w:val="B0600E" w:themeColor="accent1" w:themeShade="BF"/>
      <w:sz w:val="36"/>
      <w:szCs w:val="36"/>
    </w:rPr>
  </w:style>
  <w:style w:type="paragraph" w:styleId="Subttulo">
    <w:name w:val="Subtitle"/>
    <w:basedOn w:val="Normal"/>
    <w:next w:val="Normal"/>
    <w:link w:val="SubttuloCar"/>
    <w:uiPriority w:val="11"/>
    <w:qFormat/>
    <w:rsid w:val="00E140C6"/>
    <w:pPr>
      <w:numPr>
        <w:ilvl w:val="1"/>
      </w:numPr>
    </w:pPr>
    <w:rPr>
      <w:rFonts w:eastAsiaTheme="minorEastAsia"/>
      <w:color w:val="A6A6A6" w:themeColor="background1" w:themeShade="A6"/>
      <w:spacing w:val="15"/>
      <w:sz w:val="32"/>
      <w:szCs w:val="32"/>
    </w:rPr>
  </w:style>
  <w:style w:type="character" w:customStyle="1" w:styleId="SubttuloCar">
    <w:name w:val="Subtítulo Car"/>
    <w:basedOn w:val="Fuentedeprrafopredeter"/>
    <w:link w:val="Subttulo"/>
    <w:uiPriority w:val="11"/>
    <w:rsid w:val="00E140C6"/>
    <w:rPr>
      <w:rFonts w:eastAsiaTheme="minorEastAsia"/>
      <w:color w:val="A6A6A6" w:themeColor="background1" w:themeShade="A6"/>
      <w:spacing w:val="15"/>
      <w:sz w:val="32"/>
      <w:szCs w:val="32"/>
    </w:rPr>
  </w:style>
  <w:style w:type="character" w:customStyle="1" w:styleId="Ttulo2Car">
    <w:name w:val="Título 2 Car"/>
    <w:basedOn w:val="Fuentedeprrafopredeter"/>
    <w:link w:val="Ttulo2"/>
    <w:uiPriority w:val="9"/>
    <w:rsid w:val="00F00E89"/>
    <w:rPr>
      <w:rFonts w:asciiTheme="majorHAnsi" w:eastAsiaTheme="majorEastAsia" w:hAnsiTheme="majorHAnsi" w:cstheme="majorBidi"/>
      <w:color w:val="B0600E" w:themeColor="accent1" w:themeShade="BF"/>
      <w:sz w:val="26"/>
      <w:szCs w:val="26"/>
    </w:rPr>
  </w:style>
  <w:style w:type="paragraph" w:styleId="Puesto">
    <w:name w:val="Title"/>
    <w:basedOn w:val="Normal"/>
    <w:next w:val="Normal"/>
    <w:link w:val="PuestoCar"/>
    <w:uiPriority w:val="10"/>
    <w:qFormat/>
    <w:rsid w:val="00EF2F90"/>
    <w:pPr>
      <w:spacing w:after="24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F2F90"/>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7F063B"/>
    <w:rPr>
      <w:i/>
      <w:iCs/>
      <w:color w:val="404040" w:themeColor="text1" w:themeTint="BF"/>
      <w:sz w:val="16"/>
      <w:szCs w:val="16"/>
    </w:rPr>
  </w:style>
  <w:style w:type="table" w:styleId="Tablaconcuadrcula">
    <w:name w:val="Table Grid"/>
    <w:basedOn w:val="Tablanormal"/>
    <w:uiPriority w:val="39"/>
    <w:rsid w:val="00F00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7B07BD"/>
    <w:pPr>
      <w:spacing w:after="0" w:line="240" w:lineRule="auto"/>
    </w:pPr>
    <w:tblPr>
      <w:tblStyleRowBandSize w:val="1"/>
      <w:tblStyleColBandSize w:val="1"/>
      <w:tblBorders>
        <w:top w:val="single" w:sz="2" w:space="0" w:color="4BAAE7" w:themeColor="accent2" w:themeTint="99"/>
        <w:bottom w:val="single" w:sz="2" w:space="0" w:color="4BAAE7" w:themeColor="accent2" w:themeTint="99"/>
        <w:insideH w:val="single" w:sz="2" w:space="0" w:color="4BAAE7" w:themeColor="accent2" w:themeTint="99"/>
        <w:insideV w:val="single" w:sz="2" w:space="0" w:color="4BAAE7" w:themeColor="accent2" w:themeTint="99"/>
      </w:tblBorders>
    </w:tblPr>
    <w:tblStylePr w:type="firstRow">
      <w:rPr>
        <w:b/>
        <w:bCs/>
      </w:rPr>
      <w:tblPr/>
      <w:tcPr>
        <w:tcBorders>
          <w:top w:val="nil"/>
          <w:bottom w:val="single" w:sz="12" w:space="0" w:color="4BAAE7" w:themeColor="accent2" w:themeTint="99"/>
          <w:insideH w:val="nil"/>
          <w:insideV w:val="nil"/>
        </w:tcBorders>
        <w:shd w:val="clear" w:color="auto" w:fill="FFFFFF" w:themeFill="background1"/>
      </w:tcPr>
    </w:tblStylePr>
    <w:tblStylePr w:type="lastRow">
      <w:rPr>
        <w:b/>
        <w:bCs/>
      </w:rPr>
      <w:tblPr/>
      <w:tcPr>
        <w:tcBorders>
          <w:top w:val="double" w:sz="2" w:space="0" w:color="4BAAE7"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2F7" w:themeFill="accent2" w:themeFillTint="33"/>
      </w:tcPr>
    </w:tblStylePr>
    <w:tblStylePr w:type="band1Horz">
      <w:tblPr/>
      <w:tcPr>
        <w:shd w:val="clear" w:color="auto" w:fill="C2E2F7" w:themeFill="accent2" w:themeFillTint="33"/>
      </w:tcPr>
    </w:tblStylePr>
  </w:style>
  <w:style w:type="table" w:styleId="Tabladecuadrcula2-nfasis1">
    <w:name w:val="Grid Table 2 Accent 1"/>
    <w:basedOn w:val="Tablanormal"/>
    <w:uiPriority w:val="47"/>
    <w:rsid w:val="007B07BD"/>
    <w:pPr>
      <w:spacing w:after="0" w:line="240" w:lineRule="auto"/>
    </w:pPr>
    <w:tblPr>
      <w:tblStyleRowBandSize w:val="1"/>
      <w:tblStyleColBandSize w:val="1"/>
      <w:tblBorders>
        <w:top w:val="single" w:sz="2" w:space="0" w:color="F3B371" w:themeColor="accent1" w:themeTint="99"/>
        <w:bottom w:val="single" w:sz="2" w:space="0" w:color="F3B371" w:themeColor="accent1" w:themeTint="99"/>
        <w:insideH w:val="single" w:sz="2" w:space="0" w:color="F3B371" w:themeColor="accent1" w:themeTint="99"/>
        <w:insideV w:val="single" w:sz="2" w:space="0" w:color="F3B371" w:themeColor="accent1" w:themeTint="99"/>
      </w:tblBorders>
    </w:tblPr>
    <w:tblStylePr w:type="firstRow">
      <w:rPr>
        <w:b/>
        <w:bCs/>
      </w:rPr>
      <w:tblPr/>
      <w:tcPr>
        <w:tcBorders>
          <w:top w:val="nil"/>
          <w:bottom w:val="single" w:sz="12" w:space="0" w:color="F3B371" w:themeColor="accent1" w:themeTint="99"/>
          <w:insideH w:val="nil"/>
          <w:insideV w:val="nil"/>
        </w:tcBorders>
        <w:shd w:val="clear" w:color="auto" w:fill="FFFFFF" w:themeFill="background1"/>
      </w:tcPr>
    </w:tblStylePr>
    <w:tblStylePr w:type="lastRow">
      <w:rPr>
        <w:b/>
        <w:bCs/>
      </w:rPr>
      <w:tblPr/>
      <w:tcPr>
        <w:tcBorders>
          <w:top w:val="double" w:sz="2" w:space="0" w:color="F3B37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2">
    <w:name w:val="Grid Table 2"/>
    <w:basedOn w:val="Tablanormal"/>
    <w:uiPriority w:val="47"/>
    <w:rsid w:val="007B07B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3-nfasis5">
    <w:name w:val="Grid Table 3 Accent 5"/>
    <w:basedOn w:val="Tablanormal"/>
    <w:uiPriority w:val="48"/>
    <w:rsid w:val="007B07BD"/>
    <w:pPr>
      <w:spacing w:after="0" w:line="240" w:lineRule="auto"/>
    </w:pPr>
    <w:tblPr>
      <w:tblStyleRowBandSize w:val="1"/>
      <w:tblStyleColBandSize w:val="1"/>
      <w:tblBorders>
        <w:top w:val="single" w:sz="4" w:space="0" w:color="B2B2B2" w:themeColor="accent5" w:themeTint="99"/>
        <w:left w:val="single" w:sz="4" w:space="0" w:color="B2B2B2" w:themeColor="accent5" w:themeTint="99"/>
        <w:bottom w:val="single" w:sz="4" w:space="0" w:color="B2B2B2" w:themeColor="accent5" w:themeTint="99"/>
        <w:right w:val="single" w:sz="4" w:space="0" w:color="B2B2B2" w:themeColor="accent5" w:themeTint="99"/>
        <w:insideH w:val="single" w:sz="4" w:space="0" w:color="B2B2B2" w:themeColor="accent5" w:themeTint="99"/>
        <w:insideV w:val="single" w:sz="4" w:space="0" w:color="B2B2B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5E5" w:themeFill="accent5" w:themeFillTint="33"/>
      </w:tcPr>
    </w:tblStylePr>
    <w:tblStylePr w:type="band1Horz">
      <w:tblPr/>
      <w:tcPr>
        <w:shd w:val="clear" w:color="auto" w:fill="E5E5E5" w:themeFill="accent5" w:themeFillTint="33"/>
      </w:tcPr>
    </w:tblStylePr>
    <w:tblStylePr w:type="neCell">
      <w:tblPr/>
      <w:tcPr>
        <w:tcBorders>
          <w:bottom w:val="single" w:sz="4" w:space="0" w:color="B2B2B2" w:themeColor="accent5" w:themeTint="99"/>
        </w:tcBorders>
      </w:tcPr>
    </w:tblStylePr>
    <w:tblStylePr w:type="nwCell">
      <w:tblPr/>
      <w:tcPr>
        <w:tcBorders>
          <w:bottom w:val="single" w:sz="4" w:space="0" w:color="B2B2B2" w:themeColor="accent5" w:themeTint="99"/>
        </w:tcBorders>
      </w:tcPr>
    </w:tblStylePr>
    <w:tblStylePr w:type="seCell">
      <w:tblPr/>
      <w:tcPr>
        <w:tcBorders>
          <w:top w:val="single" w:sz="4" w:space="0" w:color="B2B2B2" w:themeColor="accent5" w:themeTint="99"/>
        </w:tcBorders>
      </w:tcPr>
    </w:tblStylePr>
    <w:tblStylePr w:type="swCell">
      <w:tblPr/>
      <w:tcPr>
        <w:tcBorders>
          <w:top w:val="single" w:sz="4" w:space="0" w:color="B2B2B2" w:themeColor="accent5" w:themeTint="99"/>
        </w:tcBorders>
      </w:tcPr>
    </w:tblStylePr>
  </w:style>
  <w:style w:type="table" w:styleId="Tabladelista3-nfasis1">
    <w:name w:val="List Table 3 Accent 1"/>
    <w:basedOn w:val="Tablanormal"/>
    <w:uiPriority w:val="48"/>
    <w:rsid w:val="007B07BD"/>
    <w:pPr>
      <w:spacing w:after="0" w:line="240" w:lineRule="auto"/>
    </w:pPr>
    <w:tblPr>
      <w:tblStyleRowBandSize w:val="1"/>
      <w:tblStyleColBandSize w:val="1"/>
      <w:tblBorders>
        <w:top w:val="single" w:sz="4" w:space="0" w:color="EC8113" w:themeColor="accent1"/>
        <w:left w:val="single" w:sz="4" w:space="0" w:color="EC8113" w:themeColor="accent1"/>
        <w:bottom w:val="single" w:sz="4" w:space="0" w:color="EC8113" w:themeColor="accent1"/>
        <w:right w:val="single" w:sz="4" w:space="0" w:color="EC8113" w:themeColor="accent1"/>
      </w:tblBorders>
    </w:tblPr>
    <w:tblStylePr w:type="firstRow">
      <w:rPr>
        <w:b/>
        <w:bCs/>
        <w:color w:val="FFFFFF" w:themeColor="background1"/>
      </w:rPr>
      <w:tblPr/>
      <w:tcPr>
        <w:shd w:val="clear" w:color="auto" w:fill="EC8113" w:themeFill="accent1"/>
      </w:tcPr>
    </w:tblStylePr>
    <w:tblStylePr w:type="lastRow">
      <w:rPr>
        <w:b/>
        <w:bCs/>
      </w:rPr>
      <w:tblPr/>
      <w:tcPr>
        <w:tcBorders>
          <w:top w:val="double" w:sz="4" w:space="0" w:color="EC811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8113" w:themeColor="accent1"/>
          <w:right w:val="single" w:sz="4" w:space="0" w:color="EC8113" w:themeColor="accent1"/>
        </w:tcBorders>
      </w:tcPr>
    </w:tblStylePr>
    <w:tblStylePr w:type="band1Horz">
      <w:tblPr/>
      <w:tcPr>
        <w:tcBorders>
          <w:top w:val="single" w:sz="4" w:space="0" w:color="EC8113" w:themeColor="accent1"/>
          <w:bottom w:val="single" w:sz="4" w:space="0" w:color="EC811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8113" w:themeColor="accent1"/>
          <w:left w:val="nil"/>
        </w:tcBorders>
      </w:tcPr>
    </w:tblStylePr>
    <w:tblStylePr w:type="swCell">
      <w:tblPr/>
      <w:tcPr>
        <w:tcBorders>
          <w:top w:val="double" w:sz="4" w:space="0" w:color="EC8113" w:themeColor="accent1"/>
          <w:right w:val="nil"/>
        </w:tcBorders>
      </w:tcPr>
    </w:tblStylePr>
  </w:style>
  <w:style w:type="table" w:styleId="Tabladelista4-nfasis1">
    <w:name w:val="List Table 4 Accent 1"/>
    <w:basedOn w:val="Tablanormal"/>
    <w:uiPriority w:val="49"/>
    <w:rsid w:val="007B07BD"/>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tcBorders>
        <w:shd w:val="clear" w:color="auto" w:fill="EC8113" w:themeFill="accent1"/>
      </w:tcPr>
    </w:tblStylePr>
    <w:tblStylePr w:type="lastRow">
      <w:rPr>
        <w:b/>
        <w:bCs/>
      </w:rPr>
      <w:tblPr/>
      <w:tcPr>
        <w:tcBorders>
          <w:top w:val="double" w:sz="4" w:space="0" w:color="F3B371" w:themeColor="accent1" w:themeTint="99"/>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paragraph" w:customStyle="1" w:styleId="Label">
    <w:name w:val="Label"/>
    <w:basedOn w:val="Normal"/>
    <w:link w:val="LabelChar"/>
    <w:qFormat/>
    <w:rsid w:val="00E140C6"/>
    <w:pPr>
      <w:spacing w:after="60"/>
    </w:pPr>
    <w:rPr>
      <w:smallCaps/>
      <w:color w:val="B0600E" w:themeColor="accent1" w:themeShade="BF"/>
    </w:rPr>
  </w:style>
  <w:style w:type="character" w:customStyle="1" w:styleId="LabelChar">
    <w:name w:val="Label Char"/>
    <w:basedOn w:val="Fuentedeprrafopredeter"/>
    <w:link w:val="Label"/>
    <w:rsid w:val="00E140C6"/>
    <w:rPr>
      <w:smallCaps/>
      <w:color w:val="B0600E" w:themeColor="accent1" w:themeShade="BF"/>
    </w:rPr>
  </w:style>
  <w:style w:type="table" w:styleId="Tabladecuadrcula4-nfasis1">
    <w:name w:val="Grid Table 4 Accent 1"/>
    <w:basedOn w:val="Tablanormal"/>
    <w:uiPriority w:val="49"/>
    <w:rsid w:val="003714F3"/>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insideV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insideV w:val="nil"/>
        </w:tcBorders>
        <w:shd w:val="clear" w:color="auto" w:fill="EC8113" w:themeFill="accent1"/>
      </w:tcPr>
    </w:tblStylePr>
    <w:tblStylePr w:type="lastRow">
      <w:rPr>
        <w:b/>
        <w:bCs/>
      </w:rPr>
      <w:tblPr/>
      <w:tcPr>
        <w:tcBorders>
          <w:top w:val="double" w:sz="4" w:space="0" w:color="EC8113" w:themeColor="accent1"/>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5oscura-nfasis1">
    <w:name w:val="Grid Table 5 Dark Accent 1"/>
    <w:basedOn w:val="Tablanormal"/>
    <w:uiPriority w:val="50"/>
    <w:rsid w:val="003714F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5C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8113"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8113"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8113"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8113" w:themeFill="accent1"/>
      </w:tcPr>
    </w:tblStylePr>
    <w:tblStylePr w:type="band1Vert">
      <w:tblPr/>
      <w:tcPr>
        <w:shd w:val="clear" w:color="auto" w:fill="F7CCA0" w:themeFill="accent1" w:themeFillTint="66"/>
      </w:tcPr>
    </w:tblStylePr>
    <w:tblStylePr w:type="band1Horz">
      <w:tblPr/>
      <w:tcPr>
        <w:shd w:val="clear" w:color="auto" w:fill="F7CCA0" w:themeFill="accent1" w:themeFillTint="66"/>
      </w:tcPr>
    </w:tblStylePr>
  </w:style>
  <w:style w:type="paragraph" w:styleId="Prrafodelista">
    <w:name w:val="List Paragraph"/>
    <w:basedOn w:val="Normal"/>
    <w:uiPriority w:val="34"/>
    <w:qFormat/>
    <w:rsid w:val="006A122B"/>
    <w:pPr>
      <w:ind w:left="720"/>
      <w:contextualSpacing/>
    </w:pPr>
  </w:style>
  <w:style w:type="table" w:styleId="Tabladecuadrcula5oscura-nfasis2">
    <w:name w:val="Grid Table 5 Dark Accent 2"/>
    <w:basedOn w:val="Tablanormal"/>
    <w:uiPriority w:val="50"/>
    <w:rsid w:val="008375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2F7"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464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464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464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46497" w:themeFill="accent2"/>
      </w:tcPr>
    </w:tblStylePr>
    <w:tblStylePr w:type="band1Vert">
      <w:tblPr/>
      <w:tcPr>
        <w:shd w:val="clear" w:color="auto" w:fill="87C6EF" w:themeFill="accent2" w:themeFillTint="66"/>
      </w:tcPr>
    </w:tblStylePr>
    <w:tblStylePr w:type="band1Horz">
      <w:tblPr/>
      <w:tcPr>
        <w:shd w:val="clear" w:color="auto" w:fill="87C6EF" w:themeFill="accent2" w:themeFillTint="66"/>
      </w:tcPr>
    </w:tblStylePr>
  </w:style>
  <w:style w:type="table" w:styleId="Tabladelista3-nfasis2">
    <w:name w:val="List Table 3 Accent 2"/>
    <w:basedOn w:val="Tablanormal"/>
    <w:uiPriority w:val="48"/>
    <w:rsid w:val="002D3517"/>
    <w:pPr>
      <w:spacing w:after="0" w:line="240" w:lineRule="auto"/>
    </w:pPr>
    <w:tblPr>
      <w:tblStyleRowBandSize w:val="1"/>
      <w:tblStyleColBandSize w:val="1"/>
      <w:tblBorders>
        <w:top w:val="single" w:sz="4" w:space="0" w:color="146497" w:themeColor="accent2"/>
        <w:left w:val="single" w:sz="4" w:space="0" w:color="146497" w:themeColor="accent2"/>
        <w:bottom w:val="single" w:sz="4" w:space="0" w:color="146497" w:themeColor="accent2"/>
        <w:right w:val="single" w:sz="4" w:space="0" w:color="146497" w:themeColor="accent2"/>
      </w:tblBorders>
    </w:tblPr>
    <w:tblStylePr w:type="firstRow">
      <w:rPr>
        <w:b/>
        <w:bCs/>
        <w:color w:val="FFFFFF" w:themeColor="background1"/>
      </w:rPr>
      <w:tblPr/>
      <w:tcPr>
        <w:shd w:val="clear" w:color="auto" w:fill="146497" w:themeFill="accent2"/>
      </w:tcPr>
    </w:tblStylePr>
    <w:tblStylePr w:type="lastRow">
      <w:rPr>
        <w:b/>
        <w:bCs/>
      </w:rPr>
      <w:tblPr/>
      <w:tcPr>
        <w:tcBorders>
          <w:top w:val="double" w:sz="4" w:space="0" w:color="1464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46497" w:themeColor="accent2"/>
          <w:right w:val="single" w:sz="4" w:space="0" w:color="146497" w:themeColor="accent2"/>
        </w:tcBorders>
      </w:tcPr>
    </w:tblStylePr>
    <w:tblStylePr w:type="band1Horz">
      <w:tblPr/>
      <w:tcPr>
        <w:tcBorders>
          <w:top w:val="single" w:sz="4" w:space="0" w:color="146497" w:themeColor="accent2"/>
          <w:bottom w:val="single" w:sz="4" w:space="0" w:color="1464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46497" w:themeColor="accent2"/>
          <w:left w:val="nil"/>
        </w:tcBorders>
      </w:tcPr>
    </w:tblStylePr>
    <w:tblStylePr w:type="swCell">
      <w:tblPr/>
      <w:tcPr>
        <w:tcBorders>
          <w:top w:val="double" w:sz="4" w:space="0" w:color="146497" w:themeColor="accent2"/>
          <w:right w:val="nil"/>
        </w:tcBorders>
      </w:tcPr>
    </w:tblStylePr>
  </w:style>
  <w:style w:type="character" w:customStyle="1" w:styleId="Ttulo3Car">
    <w:name w:val="Título 3 Car"/>
    <w:basedOn w:val="Fuentedeprrafopredeter"/>
    <w:link w:val="Ttulo3"/>
    <w:uiPriority w:val="9"/>
    <w:rsid w:val="008C4EB0"/>
    <w:rPr>
      <w:rFonts w:asciiTheme="majorHAnsi" w:eastAsiaTheme="majorEastAsia" w:hAnsiTheme="majorHAnsi" w:cstheme="majorBidi"/>
      <w:color w:val="754009" w:themeColor="accent1" w:themeShade="7F"/>
      <w:sz w:val="24"/>
      <w:szCs w:val="24"/>
    </w:rPr>
  </w:style>
  <w:style w:type="table" w:styleId="Tabladecuadrcula5oscura-nfasis3">
    <w:name w:val="Grid Table 5 Dark Accent 3"/>
    <w:basedOn w:val="Tablanormal"/>
    <w:uiPriority w:val="50"/>
    <w:rsid w:val="003E562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C8F8A"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C8F8A"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C8F8A"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C8F8A" w:themeFill="accent3"/>
      </w:tcPr>
    </w:tblStylePr>
    <w:tblStylePr w:type="band1Vert">
      <w:tblPr/>
      <w:tcPr>
        <w:shd w:val="clear" w:color="auto" w:fill="7BF4EF" w:themeFill="accent3" w:themeFillTint="66"/>
      </w:tcPr>
    </w:tblStylePr>
    <w:tblStylePr w:type="band1Horz">
      <w:tblPr/>
      <w:tcPr>
        <w:shd w:val="clear" w:color="auto" w:fill="7BF4EF"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055149">
      <w:bodyDiv w:val="1"/>
      <w:marLeft w:val="0"/>
      <w:marRight w:val="0"/>
      <w:marTop w:val="0"/>
      <w:marBottom w:val="0"/>
      <w:divBdr>
        <w:top w:val="none" w:sz="0" w:space="0" w:color="auto"/>
        <w:left w:val="none" w:sz="0" w:space="0" w:color="auto"/>
        <w:bottom w:val="none" w:sz="0" w:space="0" w:color="auto"/>
        <w:right w:val="none" w:sz="0" w:space="0" w:color="auto"/>
      </w:divBdr>
    </w:div>
    <w:div w:id="206125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C8113"/>
      </a:accent1>
      <a:accent2>
        <a:srgbClr val="146497"/>
      </a:accent2>
      <a:accent3>
        <a:srgbClr val="0C8F8A"/>
      </a:accent3>
      <a:accent4>
        <a:srgbClr val="FFC000"/>
      </a:accent4>
      <a:accent5>
        <a:srgbClr val="7F7F7F"/>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TotalTime>
  <Pages>4</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info@facilitar.io</dc:creator>
  <cp:keywords/>
  <dc:description>Created using Facilitario (http://facilitar.io)</dc:description>
  <cp:lastModifiedBy>Camilo Bravo</cp:lastModifiedBy>
  <cp:revision>119</cp:revision>
  <dcterms:created xsi:type="dcterms:W3CDTF">2016-04-19T22:35:00Z</dcterms:created>
  <dcterms:modified xsi:type="dcterms:W3CDTF">2017-12-12T01:22:00Z</dcterms:modified>
</cp:coreProperties>
</file>